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Gestão de Ambientes e Configuração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50" w:name="ambientes"/>
    <w:p>
      <w:pPr>
        <w:pStyle w:val="Heading2"/>
      </w:pPr>
      <w:r>
        <w:t xml:space="preserve">1. Ambientes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Para quê</w:t>
            </w:r>
          </w:p>
        </w:tc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t xml:space="preserve">Quem acede</w:t>
            </w:r>
          </w:p>
        </w:tc>
        <w:tc>
          <w:tcPr/>
          <w:p>
            <w:pPr>
              <w:pStyle w:val="Compact"/>
            </w:pPr>
            <w:r>
              <w:t xml:space="preserve">Como se publica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Desenvolvimento</w:t>
            </w:r>
          </w:p>
        </w:tc>
        <w:tc>
          <w:tcPr/>
          <w:p>
            <w:pPr>
              <w:pStyle w:val="Compact"/>
            </w:pPr>
            <w:r>
              <w:t xml:space="preserve">{{Fictícios}}</w:t>
            </w:r>
          </w:p>
        </w:tc>
        <w:tc>
          <w:tcPr/>
          <w:p>
            <w:pPr>
              <w:pStyle w:val="Compact"/>
            </w:pPr>
            <w:r>
              <w:t xml:space="preserve">{{Programadores}}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{{localhost}}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Testes</w:t>
            </w:r>
          </w:p>
        </w:tc>
        <w:tc>
          <w:tcPr/>
          <w:p>
            <w:pPr>
              <w:pStyle w:val="Compact"/>
            </w:pPr>
            <w:r>
              <w:t xml:space="preserve">Verificação e UAT</w:t>
            </w:r>
          </w:p>
        </w:tc>
        <w:tc>
          <w:tcPr/>
          <w:p>
            <w:pPr>
              <w:pStyle w:val="Compact"/>
            </w:pPr>
            <w:r>
              <w:t xml:space="preserve">{{Cópia anonimizada}}</w:t>
            </w:r>
          </w:p>
        </w:tc>
        <w:tc>
          <w:tcPr/>
          <w:p>
            <w:pPr>
              <w:pStyle w:val="Compact"/>
            </w:pPr>
            <w:r>
              <w:t xml:space="preserve">{{Equipa + PO}}</w:t>
            </w:r>
          </w:p>
        </w:tc>
        <w:tc>
          <w:tcPr/>
          <w:p>
            <w:pPr>
              <w:pStyle w:val="Compact"/>
            </w:pPr>
            <w:r>
              <w:t xml:space="preserve">{{Automático 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Pré-produção</w:t>
            </w:r>
          </w:p>
        </w:tc>
        <w:tc>
          <w:tcPr/>
          <w:p>
            <w:pPr>
              <w:pStyle w:val="Compact"/>
            </w:pPr>
            <w:r>
              <w:t xml:space="preserve">Ensaio final</w:t>
            </w:r>
          </w:p>
        </w:tc>
        <w:tc>
          <w:tcPr/>
          <w:p>
            <w:pPr>
              <w:pStyle w:val="Compact"/>
            </w:pPr>
            <w:r>
              <w:t xml:space="preserve">{{Cópia de produção}}</w:t>
            </w:r>
          </w:p>
        </w:tc>
        <w:tc>
          <w:tcPr/>
          <w:p>
            <w:pPr>
              <w:pStyle w:val="Compact"/>
            </w:pPr>
            <w:r>
              <w:t xml:space="preserve">{{Equipa}}</w:t>
            </w:r>
          </w:p>
        </w:tc>
        <w:tc>
          <w:tcPr/>
          <w:p>
            <w:pPr>
              <w:pStyle w:val="Compact"/>
            </w:pPr>
            <w:r>
              <w:t xml:space="preserve">{{Manual}}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Produção</w:t>
            </w:r>
          </w:p>
        </w:tc>
        <w:tc>
          <w:tcPr/>
          <w:p>
            <w:pPr>
              <w:pStyle w:val="Compact"/>
            </w:pPr>
            <w:r>
              <w:t xml:space="preserve">Uso real</w:t>
            </w:r>
          </w:p>
        </w:tc>
        <w:tc>
          <w:tcPr/>
          <w:p>
            <w:pPr>
              <w:pStyle w:val="Compact"/>
            </w:pPr>
            <w:r>
              <w:t xml:space="preserve">{{Reais}}</w:t>
            </w:r>
          </w:p>
        </w:tc>
        <w:tc>
          <w:tcPr/>
          <w:p>
            <w:pPr>
              <w:pStyle w:val="Compact"/>
            </w:pPr>
            <w:r>
              <w:t xml:space="preserve">{{Utilizadores}}</w:t>
            </w:r>
          </w:p>
        </w:tc>
        <w:tc>
          <w:tcPr/>
          <w:p>
            <w:pPr>
              <w:pStyle w:val="Compact"/>
            </w:pPr>
            <w:r>
              <w:t xml:space="preserve">{{Manual, com aprovação}}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Nenhum ambiente escreve na base de dados de outro</w:t>
            </w:r>
          </w:p>
        </w:tc>
        <w:tc>
          <w:tcPr/>
          <w:p>
            <w:pPr>
              <w:pStyle w:val="Compact"/>
            </w:pPr>
            <w:r>
              <w:t xml:space="preserve">Uma linha de configuração errada apaga 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de produção só saem anonimizados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RGPD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Produção não recebe nada que não tenha passado por testes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Pré-produção é igual a produção na configuração, não só no código</w:t>
            </w:r>
          </w:p>
        </w:tc>
        <w:tc>
          <w:tcPr/>
          <w:p>
            <w:pPr>
              <w:pStyle w:val="Compact"/>
            </w:pPr>
            <w:r>
              <w:t xml:space="preserve">A diferença é onde os problemas se escondem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4" w:name="configuração"/>
    <w:p>
      <w:pPr>
        <w:pStyle w:val="Heading2"/>
      </w:pPr>
      <w:r>
        <w:t xml:space="preserve">2. Configuração</w:t>
      </w:r>
    </w:p>
    <w:bookmarkStart w:id="51" w:name="princípios"/>
    <w:p>
      <w:pPr>
        <w:pStyle w:val="Heading3"/>
      </w:pPr>
      <w:r>
        <w:t xml:space="preserve">2.1 Princípios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Princípio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configuração vive no ambiente, não no código</w:t>
            </w:r>
            <w:r>
              <w:t xml:space="preserve"> </w:t>
            </w:r>
            <w:r>
              <w:t xml:space="preserve">— o mesmo artefacto corre em todos os ambientes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Nenhum segredo no repositório</w:t>
            </w:r>
            <w:r>
              <w:t xml:space="preserve">, nem no histórico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Falta de configuração falha ao arrancar</w:t>
            </w:r>
            <w:r>
              <w:t xml:space="preserve">, com mensagem clara — nunca silenciosamente com um valor por omissão perigoso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Existe um exemplar completo versionado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.env.example</w:t>
            </w:r>
            <w:r>
              <w:t xml:space="preserve">), sem valores reais</w:t>
            </w:r>
          </w:p>
        </w:tc>
      </w:tr>
    </w:tbl>
    <w:bookmarkEnd w:id="51"/>
    <w:bookmarkStart w:id="52" w:name="inventário"/>
    <w:p>
      <w:pPr>
        <w:pStyle w:val="Heading3"/>
      </w:pPr>
      <w:r>
        <w:t xml:space="preserve">2.2 Inventário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Obrigatória</w:t>
            </w:r>
          </w:p>
        </w:tc>
        <w:tc>
          <w:tcPr/>
          <w:p>
            <w:pPr>
              <w:pStyle w:val="Compact"/>
            </w:pPr>
            <w:r>
              <w:t xml:space="preserve">Segredo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Testes</w:t>
            </w:r>
          </w:p>
        </w:tc>
        <w:tc>
          <w:tcPr/>
          <w:p>
            <w:pPr>
              <w:pStyle w:val="Compact"/>
            </w:pPr>
            <w:r>
              <w:t xml:space="preserve">Produção</w:t>
            </w:r>
          </w:p>
        </w:tc>
        <w:tc>
          <w:tcPr/>
          <w:p>
            <w:pPr>
              <w:pStyle w:val="Compact"/>
            </w:pPr>
            <w:r>
              <w:t xml:space="preserve">Efeito se errada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{{DATABASE_URL}}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{{sqlite}}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{{Não arranca}}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{{DB_SCHEMA}}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{{vazio}}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{{Tabelas no esquema errado}}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{{DEBUG}}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{{Expõe dados internos}}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{{SECRET_KEY}}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{{Sessões inválidas}}</w:t>
            </w:r>
          </w:p>
        </w:tc>
      </w:tr>
    </w:tbl>
    <w:bookmarkEnd w:id="52"/>
    <w:bookmarkStart w:id="53" w:name="armadilhas-conhecidas"/>
    <w:p>
      <w:pPr>
        <w:pStyle w:val="Heading3"/>
      </w:pPr>
      <w:r>
        <w:t xml:space="preserve">2.3 Armadilhas conhecidas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Armadilha</w:t>
            </w:r>
          </w:p>
        </w:tc>
        <w:tc>
          <w:tcPr/>
          <w:p>
            <w:pPr>
              <w:pStyle w:val="Compact"/>
            </w:pPr>
            <w:r>
              <w:t xml:space="preserve">Sintoma</w:t>
            </w:r>
          </w:p>
        </w:tc>
        <w:tc>
          <w:tcPr/>
          <w:p>
            <w:pPr>
              <w:pStyle w:val="Compact"/>
            </w:pPr>
            <w:r>
              <w:t xml:space="preserve">Prevenção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com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num URL</w:t>
            </w:r>
          </w:p>
        </w:tc>
        <w:tc>
          <w:tcPr/>
          <w:p>
            <w:pPr>
              <w:pStyle w:val="Compact"/>
            </w:pPr>
            <w:r>
              <w:t xml:space="preserve">O URL é mal interpretado e o servidor lido é outro</w:t>
            </w:r>
          </w:p>
        </w:tc>
        <w:tc>
          <w:tcPr/>
          <w:p>
            <w:pPr>
              <w:pStyle w:val="Compact"/>
            </w:pPr>
            <w:r>
              <w:t xml:space="preserve">Codificar em percentagem (</w:t>
            </w:r>
            <w:r>
              <w:rPr>
                <w:rStyle w:val="VerbatimChar"/>
              </w:rPr>
              <w:t xml:space="preserve">%23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Dois ficheiros de configuração, um lido e outro não</w:t>
            </w:r>
          </w:p>
        </w:tc>
        <w:tc>
          <w:tcPr/>
          <w:p>
            <w:pPr>
              <w:pStyle w:val="Compact"/>
            </w:pPr>
            <w:r>
              <w:t xml:space="preserve">Alterações sem efeito nenhum</w:t>
            </w:r>
          </w:p>
        </w:tc>
        <w:tc>
          <w:tcPr/>
          <w:p>
            <w:pPr>
              <w:pStyle w:val="Compact"/>
            </w:pPr>
            <w:r>
              <w:t xml:space="preserve">Documentar</w:t>
            </w:r>
            <w:r>
              <w:t xml:space="preserve"> </w:t>
            </w:r>
            <w:r>
              <w:rPr>
                <w:b/>
                <w:bCs/>
              </w:rPr>
              <w:t xml:space="preserve">qual</w:t>
            </w:r>
            <w:r>
              <w:t xml:space="preserve"> </w:t>
            </w:r>
            <w:r>
              <w:t xml:space="preserve">é lido e por quem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 errada herdada de um exemplo</w:t>
            </w:r>
          </w:p>
        </w:tc>
        <w:tc>
          <w:tcPr/>
          <w:p>
            <w:pPr>
              <w:pStyle w:val="Compact"/>
            </w:pPr>
            <w:r>
              <w:t xml:space="preserve">“Sem rota”</w:t>
            </w:r>
            <w:r>
              <w:t xml:space="preserve"> </w:t>
            </w:r>
            <w:r>
              <w:t xml:space="preserve">que na verdade é porta fechada</w:t>
            </w:r>
          </w:p>
        </w:tc>
        <w:tc>
          <w:tcPr/>
          <w:p>
            <w:pPr>
              <w:pStyle w:val="Compact"/>
            </w:pPr>
            <w:r>
              <w:t xml:space="preserve">Testar a porta antes de culpar a rede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por omissão que funciona em local</w:t>
            </w:r>
          </w:p>
        </w:tc>
        <w:tc>
          <w:tcPr/>
          <w:p>
            <w:pPr>
              <w:pStyle w:val="Compact"/>
            </w:pPr>
            <w:r>
              <w:t xml:space="preserve">Passa despercebido até produção</w:t>
            </w:r>
          </w:p>
        </w:tc>
        <w:tc>
          <w:tcPr/>
          <w:p>
            <w:pPr>
              <w:pStyle w:val="Compact"/>
            </w:pPr>
            <w:r>
              <w:t xml:space="preserve">Obrigatório sem omissão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segredos"/>
    <w:p>
      <w:pPr>
        <w:pStyle w:val="Heading2"/>
      </w:pPr>
      <w:r>
        <w:t xml:space="preserve">3. Segredos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Segredo</w:t>
            </w:r>
          </w:p>
        </w:tc>
        <w:tc>
          <w:tcPr/>
          <w:p>
            <w:pPr>
              <w:pStyle w:val="Compact"/>
            </w:pPr>
            <w:r>
              <w:t xml:space="preserve">Onde vive</w:t>
            </w:r>
          </w:p>
        </w:tc>
        <w:tc>
          <w:tcPr/>
          <w:p>
            <w:pPr>
              <w:pStyle w:val="Compact"/>
            </w:pPr>
            <w:r>
              <w:t xml:space="preserve">Quem acede</w:t>
            </w:r>
          </w:p>
        </w:tc>
        <w:tc>
          <w:tcPr/>
          <w:p>
            <w:pPr>
              <w:pStyle w:val="Compact"/>
            </w:pPr>
            <w:r>
              <w:t xml:space="preserve">Rotação</w:t>
            </w:r>
          </w:p>
        </w:tc>
        <w:tc>
          <w:tcPr/>
          <w:p>
            <w:pPr>
              <w:pStyle w:val="Compact"/>
            </w:pPr>
            <w:r>
              <w:t xml:space="preserve">Última rotação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{{Password da base de dados}}</w:t>
            </w:r>
          </w:p>
        </w:tc>
        <w:tc>
          <w:tcPr/>
          <w:p>
            <w:pPr>
              <w:pStyle w:val="Compact"/>
            </w:pPr>
            <w:r>
              <w:t xml:space="preserve">{{cofre/variáveis do fornecedor}}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{{Chaves de API}}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Se um segredo for exposto:</w:t>
      </w:r>
      <w:r>
        <w:t xml:space="preserve"> </w:t>
      </w:r>
      <w:r>
        <w:t xml:space="preserve">{{revogar → rodar → verificar acessos → registar</w:t>
      </w:r>
      <w:r>
        <w:t xml:space="preserve"> </w:t>
      </w:r>
      <w:r>
        <w:t xml:space="preserve">como incidente}}. Apagar o commit não chega — está no histórico e em cada clone.</w:t>
      </w:r>
    </w:p>
    <w:p>
      <w:r>
        <w:pict>
          <v:rect style="width:0;height:1.5pt" o:hralign="center" o:hrstd="t" o:hr="t"/>
        </w:pict>
      </w:r>
    </w:p>
    <w:bookmarkEnd w:id="55"/>
    <w:bookmarkStart w:id="56" w:name="paridade-entre-ambientes"/>
    <w:p>
      <w:pPr>
        <w:pStyle w:val="Heading2"/>
      </w:pPr>
      <w:r>
        <w:t xml:space="preserve">4. Paridade entre ambientes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Igual em todos?</w:t>
            </w:r>
          </w:p>
        </w:tc>
        <w:tc>
          <w:tcPr/>
          <w:p>
            <w:pPr>
              <w:pStyle w:val="Compact"/>
            </w:pPr>
            <w:r>
              <w:t xml:space="preserve">Diferença aceite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 da linguagem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 da base de dados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de dados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{{Testes tem {{10%}}}}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{{Testes é menor}}</w:t>
            </w:r>
          </w:p>
        </w:tc>
      </w:tr>
    </w:tbl>
    <w:p>
      <w:pPr>
        <w:pStyle w:val="BlockText"/>
      </w:pPr>
      <w:r>
        <w:t xml:space="preserve">Cada diferença é um sítio onde um problema se pode esconder até produção.</w:t>
      </w:r>
      <w:r>
        <w:t xml:space="preserve"> </w:t>
      </w:r>
      <w:r>
        <w:t xml:space="preserve">As que existem devem ser deliberadas e estar nesta tabela.</w:t>
      </w:r>
    </w:p>
    <w:p>
      <w:r>
        <w:pict>
          <v:rect style="width:0;height:1.5pt" o:hralign="center" o:hrstd="t" o:hr="t"/>
        </w:pict>
      </w:r>
    </w:p>
    <w:bookmarkEnd w:id="56"/>
    <w:bookmarkStart w:id="57" w:name="criar-um-ambiente-de-raiz"/>
    <w:p>
      <w:pPr>
        <w:pStyle w:val="Heading2"/>
      </w:pPr>
      <w:r>
        <w:t xml:space="preserve">5. Criar um ambiente de raiz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Comando / ação</w:t>
            </w:r>
          </w:p>
        </w:tc>
        <w:tc>
          <w:tcPr/>
          <w:p>
            <w:pPr>
              <w:pStyle w:val="Compact"/>
            </w:pPr>
            <w:r>
              <w:t xml:space="preserve">Verificação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Tempo alvo:</w:t>
      </w:r>
      <w:r>
        <w:t xml:space="preserve"> </w:t>
      </w:r>
      <w:r>
        <w:t xml:space="preserve">{{&lt; 1 hora}} ·</w:t>
      </w:r>
      <w:r>
        <w:t xml:space="preserve"> </w:t>
      </w:r>
      <w:r>
        <w:rPr>
          <w:b/>
          <w:bCs/>
        </w:rPr>
        <w:t xml:space="preserve">Última vez que foi feito de raiz:</w:t>
      </w:r>
      <w:r>
        <w:t xml:space="preserve"> </w:t>
      </w:r>
      <w:r>
        <w:t xml:space="preserve">{{data}}</w:t>
      </w:r>
    </w:p>
    <w:p>
      <w:pPr>
        <w:pStyle w:val="BlockText"/>
      </w:pPr>
      <w:r>
        <w:t xml:space="preserve">Se ninguém sabe quando foi a última vez, o procedimento provavelmente já não</w:t>
      </w:r>
      <w:r>
        <w:t xml:space="preserve"> </w:t>
      </w:r>
      <w:r>
        <w:t xml:space="preserve">funciona. Vale a pena fazê-lo uma vez por ano, mesmo sem necessidade.</w:t>
      </w:r>
    </w:p>
    <w:bookmarkEnd w:id="5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../07-governanca/02-privacidade-rgp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07-governanca/02-privacidade-rgp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Gestão de Ambientes e Configuração — {{PROJETO}}</dc:title>
  <dc:creator/>
  <dc:language>pt-PT</dc:language>
  <cp:keywords/>
  <dcterms:created xsi:type="dcterms:W3CDTF">2026-08-24T15:59:28Z</dcterms:created>
  <dcterms:modified xsi:type="dcterms:W3CDTF">2026-08-24T15:59:28Z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