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Custos de Infraestrutura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O</w:t>
      </w:r>
      <w:r>
        <w:t xml:space="preserve"> </w:t>
      </w:r>
      <w:hyperlink r:id="rId49">
        <w:r>
          <w:rPr>
            <w:rStyle w:val="Hyperlink"/>
          </w:rPr>
          <w:t xml:space="preserve">Plano de Capacidade</w:t>
        </w:r>
      </w:hyperlink>
      <w:r>
        <w:t xml:space="preserve"> </w:t>
      </w:r>
      <w:r>
        <w:t xml:space="preserve">projeta carga; este documento</w:t>
      </w:r>
      <w:r>
        <w:t xml:space="preserve"> </w:t>
      </w:r>
      <w:r>
        <w:t xml:space="preserve">projeta a fatura. São perguntas diferentes: um sistema pode aguentar o crescimento</w:t>
      </w:r>
      <w:r>
        <w:t xml:space="preserve"> </w:t>
      </w:r>
      <w:r>
        <w:t xml:space="preserve">e ainda assim deixar de compensar.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{{Gestor de projeto}} · {{Tech lead}} para as decisões técnicas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Orçamento mensal aprovado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 de desvio</w:t>
            </w:r>
          </w:p>
        </w:tc>
        <w:tc>
          <w:tcPr/>
          <w:p>
            <w:pPr>
              <w:pStyle w:val="Compact"/>
            </w:pPr>
            <w:r>
              <w:t xml:space="preserve">{{80 % do orçamento}}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0" w:name="custo-atual"/>
    <w:p>
      <w:pPr>
        <w:pStyle w:val="Heading2"/>
      </w:pPr>
      <w:r>
        <w:t xml:space="preserve">1. Custo atual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Custo/mês</w:t>
            </w:r>
          </w:p>
        </w:tc>
        <w:tc>
          <w:tcPr/>
          <w:p>
            <w:pPr>
              <w:pStyle w:val="Compact"/>
            </w:pPr>
            <w:r>
              <w:t xml:space="preserve">Cresce 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{{Alojamento da aplicação}}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{{N.º de instâncias}}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{{Base de dados}}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{{GB armazenados + ligações}}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{{Armazenamento de ficheiros}}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{{GB + tráfego de saída}}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{{Cópias de segurança}}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{{Retenção}}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{{Monitorização e registos}}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{{Volume ingerido}}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{{Envio de correio / SMS}}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{{N.º de mensagens}}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{{Domínio e certificados}}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Fixo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{{Licenças de software}}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{{N.º de utilizadores}}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{{€ …}}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Ambientes:</w:t>
      </w:r>
      <w:r>
        <w:t xml:space="preserve"> </w:t>
      </w:r>
      <w:r>
        <w:t xml:space="preserve">produção {{€ …}} · pré-produção {{€ …}} · desenvolvimento {{€ …}}.</w:t>
      </w:r>
    </w:p>
    <w:p>
      <w:pPr>
        <w:pStyle w:val="BlockText"/>
      </w:pPr>
      <w:r>
        <w:t xml:space="preserve">Ambientes que não são de produção costumam valer {{30 %}} da fatura e ninguém os</w:t>
      </w:r>
      <w:r>
        <w:t xml:space="preserve"> </w:t>
      </w:r>
      <w:r>
        <w:t xml:space="preserve">olha. Desligar o de testes fora de horas é a poupança mais fácil que existe.</w:t>
      </w:r>
    </w:p>
    <w:p>
      <w:r>
        <w:pict>
          <v:rect style="width:0;height:1.5pt" o:hralign="center" o:hrstd="t" o:hr="t"/>
        </w:pict>
      </w:r>
    </w:p>
    <w:bookmarkEnd w:id="50"/>
    <w:bookmarkStart w:id="51" w:name="projeção"/>
    <w:p>
      <w:pPr>
        <w:pStyle w:val="Heading2"/>
      </w:pPr>
      <w:r>
        <w:t xml:space="preserve">2. Projeção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Utilizadores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Custo/mês estimado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Hoje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{{+6 meses}}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{{Cliente grande entra}}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{{Pico previsível}}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 por unidade de negócio:</w:t>
      </w:r>
      <w:r>
        <w:t xml:space="preserve"> </w:t>
      </w:r>
      <w:r>
        <w:t xml:space="preserve">{{€ … por cliente/mês}} · {{€ … por 1000 pedidos}}.</w:t>
      </w:r>
      <w:r>
        <w:t xml:space="preserve"> </w:t>
      </w:r>
      <w:r>
        <w:t xml:space="preserve">É o número que permite responder a</w:t>
      </w:r>
      <w:r>
        <w:t xml:space="preserve"> </w:t>
      </w:r>
      <w:r>
        <w:t xml:space="preserve">“compensa aceitar este cliente?”</w:t>
      </w:r>
      <w:r>
        <w:t xml:space="preserve"> </w:t>
      </w:r>
      <w:r>
        <w:t xml:space="preserve">e a</w:t>
      </w:r>
      <w:r>
        <w:t xml:space="preserve"> </w:t>
      </w:r>
      <w:r>
        <w:t xml:space="preserve">“quanto</w:t>
      </w:r>
      <w:r>
        <w:t xml:space="preserve"> </w:t>
      </w:r>
      <w:r>
        <w:t xml:space="preserve">custa esta funcionalidade?”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escalões-e-saltos"/>
    <w:p>
      <w:pPr>
        <w:pStyle w:val="Heading2"/>
      </w:pPr>
      <w:r>
        <w:t xml:space="preserve">3. Escalões e saltos</w:t>
      </w:r>
    </w:p>
    <w:p>
      <w:pPr>
        <w:pStyle w:val="FirstParagraph"/>
      </w:pPr>
      <w:r>
        <w:t xml:space="preserve">Os custos de nuvem raramente sobem em linha reta: sobem em degraus, e o degrau</w:t>
      </w:r>
      <w:r>
        <w:t xml:space="preserve"> </w:t>
      </w:r>
      <w:r>
        <w:t xml:space="preserve">apanha sempre de surpresa.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O que acontece ao passar</w:t>
            </w:r>
          </w:p>
        </w:tc>
        <w:tc>
          <w:tcPr/>
          <w:p>
            <w:pPr>
              <w:pStyle w:val="Compact"/>
            </w:pPr>
            <w:r>
              <w:t xml:space="preserve">Custo do salto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{{Plano grátis do {{fornecedor}}}}</w:t>
            </w:r>
          </w:p>
        </w:tc>
        <w:tc>
          <w:tcPr/>
          <w:p>
            <w:pPr>
              <w:pStyle w:val="Compact"/>
            </w:pPr>
            <w:r>
              <w:t xml:space="preserve">{{Sem consola, sem cron, sem disco persistente}}</w:t>
            </w:r>
          </w:p>
        </w:tc>
        <w:tc>
          <w:tcPr/>
          <w:p>
            <w:pPr>
              <w:pStyle w:val="Compact"/>
            </w:pPr>
            <w:r>
              <w:t xml:space="preserve">{{€ … para o plano seguinte}}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{{Instância a 80 % de memória}}</w:t>
            </w:r>
          </w:p>
        </w:tc>
        <w:tc>
          <w:tcPr/>
          <w:p>
            <w:pPr>
              <w:pStyle w:val="Compact"/>
            </w:pPr>
            <w:r>
              <w:t xml:space="preserve">Necessário escalão acima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{{{{N}} GB de base de dados}}</w:t>
            </w:r>
          </w:p>
        </w:tc>
        <w:tc>
          <w:tcPr/>
          <w:p>
            <w:pPr>
              <w:pStyle w:val="Compact"/>
            </w:pPr>
            <w:r>
              <w:t xml:space="preserve">Escalão seguinte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{{{{N}} GB de tráfego de saída}}</w:t>
            </w:r>
          </w:p>
        </w:tc>
        <w:tc>
          <w:tcPr/>
          <w:p>
            <w:pPr>
              <w:pStyle w:val="Compact"/>
            </w:pPr>
            <w:r>
              <w:t xml:space="preserve">Passa a pagar por GB</w:t>
            </w:r>
          </w:p>
        </w:tc>
        <w:tc>
          <w:tcPr/>
          <w:p>
            <w:pPr>
              <w:pStyle w:val="Compact"/>
            </w:pPr>
            <w:r>
              <w:t xml:space="preserve">{{€ …/GB}}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{{Retenção de registos &gt; {{N}} dias}}</w:t>
            </w:r>
          </w:p>
        </w:tc>
        <w:tc>
          <w:tcPr/>
          <w:p>
            <w:pPr>
              <w:pStyle w:val="Compact"/>
            </w:pPr>
            <w:r>
              <w:t xml:space="preserve">Ingestão paga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Saber onde está o próximo degrau</w:t>
      </w:r>
      <w:r>
        <w:t xml:space="preserve"> </w:t>
      </w:r>
      <w:r>
        <w:t xml:space="preserve">vale mais do que otimizar o custo atual.</w:t>
      </w:r>
    </w:p>
    <w:p>
      <w:r>
        <w:pict>
          <v:rect style="width:0;height:1.5pt" o:hralign="center" o:hrstd="t" o:hr="t"/>
        </w:pict>
      </w:r>
    </w:p>
    <w:bookmarkEnd w:id="52"/>
    <w:bookmarkStart w:id="53" w:name="alertas"/>
    <w:p>
      <w:pPr>
        <w:pStyle w:val="Heading2"/>
      </w:pPr>
      <w:r>
        <w:t xml:space="preserve">4. Alertas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Alerta</w:t>
            </w:r>
          </w:p>
        </w:tc>
        <w:tc>
          <w:tcPr/>
          <w:p>
            <w:pPr>
              <w:pStyle w:val="Compact"/>
            </w:pPr>
            <w:r>
              <w:t xml:space="preserve">Limiar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 acumulado do mês</w:t>
            </w:r>
          </w:p>
        </w:tc>
        <w:tc>
          <w:tcPr/>
          <w:p>
            <w:pPr>
              <w:pStyle w:val="Compact"/>
            </w:pPr>
            <w:r>
              <w:t xml:space="preserve">{{80 % do orçamento}}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Previsão de fecho acima do orçamento</w:t>
            </w:r>
          </w:p>
        </w:tc>
        <w:tc>
          <w:tcPr/>
          <w:p>
            <w:pPr>
              <w:pStyle w:val="Compact"/>
            </w:pPr>
            <w:r>
              <w:t xml:space="preserve">{{110 %}}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Aumento diário anormal</w:t>
            </w:r>
          </w:p>
        </w:tc>
        <w:tc>
          <w:tcPr/>
          <w:p>
            <w:pPr>
              <w:pStyle w:val="Compact"/>
            </w:pPr>
            <w:r>
              <w:t xml:space="preserve">{{+50 % face à média}}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 novo criado fora da automação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</w:tbl>
    <w:p>
      <w:pPr>
        <w:pStyle w:val="BlockText"/>
      </w:pPr>
      <w:r>
        <w:t xml:space="preserve">Um alerta de custo é um alerta de segurança disfarçado: a subida repentina tanto</w:t>
      </w:r>
      <w:r>
        <w:t xml:space="preserve"> </w:t>
      </w:r>
      <w:r>
        <w:t xml:space="preserve">pode ser sucesso como uma chave comprometida a minerar por tua conta.</w:t>
      </w:r>
    </w:p>
    <w:p>
      <w:r>
        <w:pict>
          <v:rect style="width:0;height:1.5pt" o:hralign="center" o:hrstd="t" o:hr="t"/>
        </w:pict>
      </w:r>
    </w:p>
    <w:bookmarkEnd w:id="53"/>
    <w:bookmarkStart w:id="55" w:name="onde-se-poupa-sem-estragar"/>
    <w:p>
      <w:pPr>
        <w:pStyle w:val="Heading2"/>
      </w:pPr>
      <w:r>
        <w:t xml:space="preserve">5. Onde se poupa sem estragar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Poupança típica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Desligar ambientes fora de horas</w:t>
            </w:r>
          </w:p>
        </w:tc>
        <w:tc>
          <w:tcPr/>
          <w:p>
            <w:pPr>
              <w:pStyle w:val="Compact"/>
            </w:pPr>
            <w:r>
              <w:t xml:space="preserve">{{20–40 % do não-produtivo}}</w:t>
            </w:r>
          </w:p>
        </w:tc>
        <w:tc>
          <w:tcPr/>
          <w:p>
            <w:pPr>
              <w:pStyle w:val="Compact"/>
            </w:pPr>
            <w:r>
              <w:t xml:space="preserve">Nenhum, se automatizado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Ajustar tamanho das instâncias ao uso real</w:t>
            </w:r>
          </w:p>
        </w:tc>
        <w:tc>
          <w:tcPr/>
          <w:p>
            <w:pPr>
              <w:pStyle w:val="Compact"/>
            </w:pPr>
            <w:r>
              <w:t xml:space="preserve">{{10–30 %}}</w:t>
            </w:r>
          </w:p>
        </w:tc>
        <w:tc>
          <w:tcPr/>
          <w:p>
            <w:pPr>
              <w:pStyle w:val="Compact"/>
            </w:pPr>
            <w:r>
              <w:t xml:space="preserve">Requer medição 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registos alinhada com a necessidade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  <w:tc>
          <w:tcPr/>
          <w:p>
            <w:pPr>
              <w:pStyle w:val="Compact"/>
            </w:pPr>
            <w:r>
              <w:t xml:space="preserve">Cuidado com exigências de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Compressão e ciclo de vida do armazenamento</w:t>
            </w:r>
          </w:p>
        </w:tc>
        <w:tc>
          <w:tcPr/>
          <w:p>
            <w:pPr>
              <w:pStyle w:val="Compact"/>
            </w:pPr>
            <w:r>
              <w:t xml:space="preserve">{{Média}}</w:t>
            </w:r>
          </w:p>
        </w:tc>
        <w:tc>
          <w:tcPr/>
          <w:p>
            <w:pPr>
              <w:pStyle w:val="Compact"/>
            </w:pPr>
            <w:r>
              <w:t xml:space="preserve">Restauro mais lento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do que é caro de calcular</w:t>
            </w:r>
          </w:p>
        </w:tc>
        <w:tc>
          <w:tcPr/>
          <w:p>
            <w:pPr>
              <w:pStyle w:val="Compact"/>
            </w:pPr>
            <w:r>
              <w:t xml:space="preserve">{{Variável}}</w:t>
            </w:r>
          </w:p>
        </w:tc>
        <w:tc>
          <w:tcPr/>
          <w:p>
            <w:pPr>
              <w:pStyle w:val="Compact"/>
            </w:pPr>
            <w:r>
              <w:t xml:space="preserve">Complexidade e dados velhos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Compromisso anual em vez de mensal</w:t>
            </w:r>
          </w:p>
        </w:tc>
        <w:tc>
          <w:tcPr/>
          <w:p>
            <w:pPr>
              <w:pStyle w:val="Compact"/>
            </w:pPr>
            <w:r>
              <w:t xml:space="preserve">{{10–30 %}}</w:t>
            </w:r>
          </w:p>
        </w:tc>
        <w:tc>
          <w:tcPr/>
          <w:p>
            <w:pPr>
              <w:pStyle w:val="Compact"/>
            </w:pPr>
            <w:r>
              <w:t xml:space="preserve">Perde flexibilidade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Onde não se poupa:</w:t>
      </w:r>
      <w:r>
        <w:t xml:space="preserve"> </w:t>
      </w:r>
      <w:r>
        <w:t xml:space="preserve">cópias de segurança · redundância que sustenta o</w:t>
      </w:r>
      <w:r>
        <w:t xml:space="preserve"> </w:t>
      </w:r>
      <w:hyperlink r:id="rId54">
        <w:r>
          <w:rPr>
            <w:rStyle w:val="Hyperlink"/>
          </w:rPr>
          <w:t xml:space="preserve">SLA</w:t>
        </w:r>
      </w:hyperlink>
      <w:r>
        <w:t xml:space="preserve"> </w:t>
      </w:r>
      <w:r>
        <w:t xml:space="preserve">·</w:t>
      </w:r>
      <w:r>
        <w:t xml:space="preserve"> </w:t>
      </w:r>
      <w:r>
        <w:t xml:space="preserve">monitorização · segurança. Poupar aqui não é poupar — é adiar uma fatura maior.</w:t>
      </w:r>
    </w:p>
    <w:p>
      <w:r>
        <w:pict>
          <v:rect style="width:0;height:1.5pt" o:hralign="center" o:hrstd="t" o:hr="t"/>
        </w:pict>
      </w:r>
    </w:p>
    <w:bookmarkEnd w:id="55"/>
    <w:bookmarkStart w:id="57" w:name="decisões-com-impacto-no-custo"/>
    <w:p>
      <w:pPr>
        <w:pStyle w:val="Heading2"/>
      </w:pPr>
      <w:r>
        <w:t xml:space="preserve">6. Decisões com impacto no custo</w:t>
      </w:r>
    </w:p>
    <w:p>
      <w:pPr>
        <w:pStyle w:val="FirstParagraph"/>
      </w:pPr>
      <w:r>
        <w:t xml:space="preserve">Toda a decisão de arquitetura tem preço mensal. Registar em</w:t>
      </w:r>
      <w:r>
        <w:t xml:space="preserve"> </w:t>
      </w:r>
      <w:hyperlink r:id="rId56">
        <w:r>
          <w:rPr>
            <w:rStyle w:val="Hyperlink"/>
          </w:rPr>
          <w:t xml:space="preserve">ADR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Custo/mês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{{Base de dados gerida vs. auto-alojada}}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{{€ …}}</w:t>
            </w:r>
          </w:p>
        </w:tc>
        <w:tc>
          <w:tcPr/>
          <w:p>
            <w:pPr>
              <w:pStyle w:val="Compact"/>
            </w:pPr>
            <w:r>
              <w:t xml:space="preserve">{{€ … e {{N}} h/mês de trabalho}}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evisão-mensal-15-min"/>
    <w:p>
      <w:pPr>
        <w:pStyle w:val="Heading2"/>
      </w:pPr>
      <w:r>
        <w:t xml:space="preserve">7. Revisão mensal ({{15 min}})</w:t>
      </w:r>
    </w:p>
    <w:p>
      <w:pPr>
        <w:pStyle w:val="Compact"/>
        <w:numPr>
          <w:ilvl w:val="0"/>
          <w:numId w:val="1001"/>
        </w:numPr>
      </w:pPr>
      <w:r>
        <w:t xml:space="preserve">Fatura real vs. orçamento — desvio e causa.</w:t>
      </w:r>
    </w:p>
    <w:p>
      <w:pPr>
        <w:pStyle w:val="Compact"/>
        <w:numPr>
          <w:ilvl w:val="0"/>
          <w:numId w:val="1001"/>
        </w:numPr>
      </w:pPr>
      <w:r>
        <w:t xml:space="preserve">Que componente cresceu mais, e porquê.</w:t>
      </w:r>
    </w:p>
    <w:p>
      <w:pPr>
        <w:pStyle w:val="Compact"/>
        <w:numPr>
          <w:ilvl w:val="0"/>
          <w:numId w:val="1001"/>
        </w:numPr>
      </w:pPr>
      <w:r>
        <w:t xml:space="preserve">Há recursos a pagar sem ninguém os usar? ({{instâncias paradas, discos órfãos, ambientes esquecidos}})</w:t>
      </w:r>
    </w:p>
    <w:p>
      <w:pPr>
        <w:pStyle w:val="Compact"/>
        <w:numPr>
          <w:ilvl w:val="0"/>
          <w:numId w:val="1001"/>
        </w:numPr>
      </w:pPr>
      <w:r>
        <w:t xml:space="preserve">O próximo degrau está a que distância?</w:t>
      </w:r>
    </w:p>
    <w:p>
      <w:pPr>
        <w:pStyle w:val="Compact"/>
        <w:numPr>
          <w:ilvl w:val="0"/>
          <w:numId w:val="1001"/>
        </w:numPr>
      </w:pPr>
      <w:r>
        <w:t xml:space="preserve">O custo por cliente subiu ou desceu?</w:t>
      </w:r>
    </w:p>
    <w:p>
      <w:r>
        <w:pict>
          <v:rect style="width:0;height:1.5pt" o:hralign="center" o:hrstd="t" o:hr="t"/>
        </w:pict>
      </w:r>
    </w:p>
    <w:bookmarkEnd w:id="58"/>
    <w:bookmarkStart w:id="63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Plano de Capacidade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carga que gera este custo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existe em cada ambiente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Escolha de Tecnologia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o custo devia ter entrado na decisão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Contratação e Fornecedores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Contratos e planos de saída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Relatório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o desvio é comunicado</w:t>
            </w:r>
          </w:p>
        </w:tc>
      </w:tr>
    </w:tbl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62" Target="../01-gestao-projeto/06-relatorio-estado.md" TargetMode="External" /><Relationship Type="http://schemas.openxmlformats.org/officeDocument/2006/relationships/hyperlink" Id="rId56" Target="../03-arquitetura/02-modelo-decisao-arquitetura.md" TargetMode="External" /><Relationship Type="http://schemas.openxmlformats.org/officeDocument/2006/relationships/hyperlink" Id="rId60" Target="../03-arquitetura/07-escolha-tecnologia.md" TargetMode="External" /><Relationship Type="http://schemas.openxmlformats.org/officeDocument/2006/relationships/hyperlink" Id="rId61" Target="../07-governanca/05-contratacao-e-fornecedores.md" TargetMode="External" /><Relationship Type="http://schemas.openxmlformats.org/officeDocument/2006/relationships/hyperlink" Id="rId54" Target="06-acordo-nivel-servico.md" TargetMode="External" /><Relationship Type="http://schemas.openxmlformats.org/officeDocument/2006/relationships/hyperlink" Id="rId49" Target="07-plano-capacidade.md" TargetMode="External" /><Relationship Type="http://schemas.openxmlformats.org/officeDocument/2006/relationships/hyperlink" Id="rId59" Target="08-gestao-ambientes-configu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01-gestao-projeto/06-relatorio-estado.md" TargetMode="External" /><Relationship Type="http://schemas.openxmlformats.org/officeDocument/2006/relationships/hyperlink" Id="rId56" Target="../03-arquitetura/02-modelo-decisao-arquitetura.md" TargetMode="External" /><Relationship Type="http://schemas.openxmlformats.org/officeDocument/2006/relationships/hyperlink" Id="rId60" Target="../03-arquitetura/07-escolha-tecnologia.md" TargetMode="External" /><Relationship Type="http://schemas.openxmlformats.org/officeDocument/2006/relationships/hyperlink" Id="rId61" Target="../07-governanca/05-contratacao-e-fornecedores.md" TargetMode="External" /><Relationship Type="http://schemas.openxmlformats.org/officeDocument/2006/relationships/hyperlink" Id="rId54" Target="06-acordo-nivel-servico.md" TargetMode="External" /><Relationship Type="http://schemas.openxmlformats.org/officeDocument/2006/relationships/hyperlink" Id="rId49" Target="07-plano-capacidade.md" TargetMode="External" /><Relationship Type="http://schemas.openxmlformats.org/officeDocument/2006/relationships/hyperlink" Id="rId59" Target="08-gestao-ambientes-configu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Custos de Infraestrutura — {{PROJETO}}</dc:title>
  <dc:creator/>
  <dc:language>pt-PT</dc:language>
  <cp:keywords/>
  <dcterms:created xsi:type="dcterms:W3CDTF">2026-08-24T15:59:29Z</dcterms:created>
  <dcterms:modified xsi:type="dcterms:W3CDTF">2026-08-24T15:59:29Z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