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Política de Privacidade e Termos de Utilização — modelos públicos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O documento</w:t>
      </w:r>
      <w:r>
        <w:t xml:space="preserve"> </w:t>
      </w:r>
      <w:hyperlink r:id="rId49">
        <w:r>
          <w:rPr>
            <w:rStyle w:val="Hyperlink"/>
          </w:rPr>
          <w:t xml:space="preserve">Privacidade / RGPD</w:t>
        </w:r>
      </w:hyperlink>
      <w:r>
        <w:t xml:space="preserve"> </w:t>
      </w:r>
      <w:r>
        <w:t xml:space="preserve">é o registo</w:t>
      </w:r>
      <w:r>
        <w:t xml:space="preserve"> </w:t>
      </w:r>
      <w:r>
        <w:rPr>
          <w:b/>
          <w:bCs/>
        </w:rPr>
        <w:t xml:space="preserve">interno</w:t>
      </w:r>
      <w:r>
        <w:t xml:space="preserve"> </w:t>
      </w:r>
      <w:r>
        <w:t xml:space="preserve">(artigo 30.º): o que se trata, com que fundamento, por quanto tempo. Estes são os</w:t>
      </w:r>
      <w:r>
        <w:t xml:space="preserve"> </w:t>
      </w:r>
      <w:r>
        <w:t xml:space="preserve">textos</w:t>
      </w:r>
      <w:r>
        <w:t xml:space="preserve"> </w:t>
      </w:r>
      <w:r>
        <w:rPr>
          <w:b/>
          <w:bCs/>
        </w:rPr>
        <w:t xml:space="preserve">públicos</w:t>
      </w:r>
      <w:r>
        <w:t xml:space="preserve">, escritos para o utilizador ler — e são obrigatórios em</w:t>
      </w:r>
      <w:r>
        <w:t xml:space="preserve"> </w:t>
      </w:r>
      <w:r>
        <w:t xml:space="preserve">qualquer produto com utilizadores reais, incluindo aplicações móveis, onde as</w:t>
      </w:r>
      <w:r>
        <w:t xml:space="preserve"> </w:t>
      </w:r>
      <w:r>
        <w:t xml:space="preserve">lojas os exigem para aceitar a submissão.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{{DPO}} · revisão jurídica por {{quem}}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é publicado</w:t>
            </w:r>
          </w:p>
        </w:tc>
        <w:tc>
          <w:tcPr/>
          <w:p>
            <w:pPr>
              <w:pStyle w:val="Compact"/>
            </w:pPr>
            <w:r>
              <w:t xml:space="preserve">{{URL}} · {{ecrã de registo}} · {{ficha da loja}}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em vigor</w:t>
            </w:r>
          </w:p>
        </w:tc>
        <w:tc>
          <w:tcPr/>
          <w:p>
            <w:pPr>
              <w:pStyle w:val="Compact"/>
            </w:pPr>
            <w:r>
              <w:t xml:space="preserve">{{1.0}} de 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de versões</w:t>
            </w:r>
          </w:p>
        </w:tc>
        <w:tc>
          <w:tcPr/>
          <w:p>
            <w:pPr>
              <w:pStyle w:val="Compact"/>
            </w:pPr>
            <w:r>
              <w:t xml:space="preserve">{{Mantido e acessível}}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Isto é um modelo, não aconselhamento jurídico.</w:t>
      </w:r>
      <w:r>
        <w:t xml:space="preserve"> </w:t>
      </w:r>
      <w:r>
        <w:t xml:space="preserve">Antes de publicar, deve ser</w:t>
      </w:r>
      <w:r>
        <w:t xml:space="preserve"> </w:t>
      </w:r>
      <w:r>
        <w:t xml:space="preserve">revisto por quem tenha competência para o fazer.</w:t>
      </w:r>
    </w:p>
    <w:p>
      <w:r>
        <w:pict>
          <v:rect style="width:0;height:1.5pt" o:hralign="center" o:hrstd="t" o:hr="t"/>
        </w:pict>
      </w:r>
    </w:p>
    <w:bookmarkStart w:id="50" w:name="a-política-de-privacidade"/>
    <w:p>
      <w:pPr>
        <w:pStyle w:val="Heading2"/>
      </w:pPr>
      <w:r>
        <w:t xml:space="preserve">A — Política de Privacidade</w:t>
      </w:r>
    </w:p>
    <w:p>
      <w:pPr>
        <w:pStyle w:val="SourceCode"/>
      </w:pPr>
      <w:r>
        <w:rPr>
          <w:rStyle w:val="FunctionTok"/>
        </w:rPr>
        <w:t xml:space="preserve"># Política de Privacidade — {{PRODUTO}}</w:t>
      </w:r>
      <w:r>
        <w:br/>
      </w:r>
      <w:r>
        <w:br/>
      </w:r>
      <w:r>
        <w:rPr>
          <w:rStyle w:val="NormalTok"/>
        </w:rPr>
        <w:t xml:space="preserve">Última atualização: {{AAAA-MM-DD}}</w:t>
      </w:r>
      <w:r>
        <w:br/>
      </w:r>
      <w:r>
        <w:br/>
      </w:r>
      <w:r>
        <w:rPr>
          <w:rStyle w:val="FunctionTok"/>
        </w:rPr>
        <w:t xml:space="preserve">## Quem trata os seus dados</w:t>
      </w:r>
      <w:r>
        <w:br/>
      </w:r>
      <w:r>
        <w:rPr>
          <w:rStyle w:val="NormalTok"/>
        </w:rPr>
        <w:t xml:space="preserve">{{Nome da entidade}}, {{morada}}, {{NIF}}.</w:t>
      </w:r>
      <w:r>
        <w:br/>
      </w:r>
      <w:r>
        <w:rPr>
          <w:rStyle w:val="NormalTok"/>
        </w:rPr>
        <w:t xml:space="preserve">Contacto para questões de privacidade: {{email}}.</w:t>
      </w:r>
      <w:r>
        <w:br/>
      </w:r>
      <w:r>
        <w:rPr>
          <w:rStyle w:val="NormalTok"/>
        </w:rPr>
        <w:t xml:space="preserve">{{Encarregado de proteção de dados: {{nome/contacto}}, se aplicável.}}</w:t>
      </w:r>
      <w:r>
        <w:br/>
      </w:r>
      <w:r>
        <w:br/>
      </w:r>
      <w:r>
        <w:rPr>
          <w:rStyle w:val="FunctionTok"/>
        </w:rPr>
        <w:t xml:space="preserve">## Que dados recolhemos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Dados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Para quê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Fundamento legal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Quanto tempo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{{Nome, email, telefone}}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{{Criar e gerir a sua conta}}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Execução do contrato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{{Enquanto tiver conta + 1 ano}}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{{Dados de utilização}}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{{Melhorar o serviço}}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Interesse legítimo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{{12 meses}}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{{Registos de acesso}}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{{Segurança}}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Interesse legítimo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{{12 meses}}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{{Dados de faturação}}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{{Obrigação fiscal}}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Obrigação legal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{{10 anos}}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Como usamos os dados</w:t>
      </w:r>
      <w:r>
        <w:br/>
      </w:r>
      <w:r>
        <w:rPr>
          <w:rStyle w:val="NormalTok"/>
        </w:rPr>
        <w:t xml:space="preserve">Usamos os seus dados apenas para as finalidades indicadas.</w:t>
      </w:r>
      <w:r>
        <w:br/>
      </w:r>
      <w:r>
        <w:rPr>
          <w:rStyle w:val="NormalTok"/>
        </w:rPr>
        <w:t xml:space="preserve">**Não vendemos os seus dados a ninguém.**</w:t>
      </w:r>
      <w:r>
        <w:br/>
      </w:r>
      <w:r>
        <w:br/>
      </w:r>
      <w:r>
        <w:rPr>
          <w:rStyle w:val="FunctionTok"/>
        </w:rPr>
        <w:t xml:space="preserve">## Com quem partilhamos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Para quê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Onde estão os dados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{{Alojamento}}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{{Servir a aplicação}}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{{UE}}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{{Serviço de correio}}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{{Enviar notificações}}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{{UE}}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{{Se houver transferência para fora da UE, indicar o país e a salvaguarda aplicável.}}</w:t>
      </w:r>
      <w:r>
        <w:br/>
      </w:r>
      <w:r>
        <w:br/>
      </w:r>
      <w:r>
        <w:rPr>
          <w:rStyle w:val="FunctionTok"/>
        </w:rPr>
        <w:t xml:space="preserve">## Os seus direitos</w:t>
      </w:r>
      <w:r>
        <w:br/>
      </w:r>
      <w:r>
        <w:rPr>
          <w:rStyle w:val="NormalTok"/>
        </w:rPr>
        <w:t xml:space="preserve">Pode pedir, a qualquer momento: aceder aos seus dados · corrigi-los · apagá-los ·</w:t>
      </w:r>
      <w:r>
        <w:br/>
      </w:r>
      <w:r>
        <w:rPr>
          <w:rStyle w:val="NormalTok"/>
        </w:rPr>
        <w:t xml:space="preserve">limitar o tratamento · opor-se · recebê-los num ficheiro portável.</w:t>
      </w:r>
      <w:r>
        <w:br/>
      </w:r>
      <w:r>
        <w:rPr>
          <w:rStyle w:val="NormalTok"/>
        </w:rPr>
        <w:t xml:space="preserve">Basta escrever para {{email}}. Respondemos em **{{30 dias}}**.</w:t>
      </w:r>
      <w:r>
        <w:br/>
      </w:r>
      <w:r>
        <w:rPr>
          <w:rStyle w:val="NormalTok"/>
        </w:rPr>
        <w:t xml:space="preserve">Pode também reclamar junto da CNPD (www.cnpd.pt).</w:t>
      </w:r>
      <w:r>
        <w:br/>
      </w:r>
      <w:r>
        <w:br/>
      </w:r>
      <w:r>
        <w:rPr>
          <w:rStyle w:val="FunctionTok"/>
        </w:rPr>
        <w:t xml:space="preserve">## Cookies</w:t>
      </w:r>
      <w:r>
        <w:br/>
      </w:r>
      <w:r>
        <w:rPr>
          <w:rStyle w:val="NormalTok"/>
        </w:rPr>
        <w:t xml:space="preserve">{{Lista dos cookies usados: nome, finalidade, duração.}}</w:t>
      </w:r>
      <w:r>
        <w:br/>
      </w:r>
      <w:r>
        <w:rPr>
          <w:rStyle w:val="NormalTok"/>
        </w:rPr>
        <w:t xml:space="preserve">{{Os cookies não essenciais só são colocados após o seu consentimento.}}</w:t>
      </w:r>
      <w:r>
        <w:br/>
      </w:r>
      <w:r>
        <w:br/>
      </w:r>
      <w:r>
        <w:rPr>
          <w:rStyle w:val="FunctionTok"/>
        </w:rPr>
        <w:t xml:space="preserve">## Segurança</w:t>
      </w:r>
      <w:r>
        <w:br/>
      </w:r>
      <w:r>
        <w:rPr>
          <w:rStyle w:val="NormalTok"/>
        </w:rPr>
        <w:t xml:space="preserve">{{Medidas: cifra em trânsito e em repouso, controlo de acessos, cópias de segurança,</w:t>
      </w:r>
      <w:r>
        <w:br/>
      </w:r>
      <w:r>
        <w:rPr>
          <w:rStyle w:val="NormalTok"/>
        </w:rPr>
        <w:t xml:space="preserve">registo de auditoria.}} Nenhum sistema é totalmente seguro; em caso de violação que</w:t>
      </w:r>
      <w:r>
        <w:br/>
      </w:r>
      <w:r>
        <w:rPr>
          <w:rStyle w:val="NormalTok"/>
        </w:rPr>
        <w:t xml:space="preserve">represente risco elevado, informamos os titulares afetados e a CNPD.</w:t>
      </w:r>
      <w:r>
        <w:br/>
      </w:r>
      <w:r>
        <w:br/>
      </w:r>
      <w:r>
        <w:rPr>
          <w:rStyle w:val="FunctionTok"/>
        </w:rPr>
        <w:t xml:space="preserve">## Menores</w:t>
      </w:r>
      <w:r>
        <w:br/>
      </w:r>
      <w:r>
        <w:rPr>
          <w:rStyle w:val="NormalTok"/>
        </w:rPr>
        <w:t xml:space="preserve">{{O serviço não se destina a menores de {{16}} anos.}}</w:t>
      </w:r>
      <w:r>
        <w:br/>
      </w:r>
      <w:r>
        <w:br/>
      </w:r>
      <w:r>
        <w:rPr>
          <w:rStyle w:val="FunctionTok"/>
        </w:rPr>
        <w:t xml:space="preserve">## Alterações</w:t>
      </w:r>
      <w:r>
        <w:br/>
      </w:r>
      <w:r>
        <w:rPr>
          <w:rStyle w:val="NormalTok"/>
        </w:rPr>
        <w:t xml:space="preserve">Avisamos com {{30 dias}} de antecedência antes de qualquer alteração relevante.</w:t>
      </w:r>
      <w:r>
        <w:br/>
      </w:r>
      <w:r>
        <w:rPr>
          <w:rStyle w:val="NormalTok"/>
        </w:rPr>
        <w:t xml:space="preserve">As versões anteriores estão disponíveis em {{URL}}.</w:t>
      </w:r>
    </w:p>
    <w:p>
      <w:r>
        <w:pict>
          <v:rect style="width:0;height:1.5pt" o:hralign="center" o:hrstd="t" o:hr="t"/>
        </w:pict>
      </w:r>
    </w:p>
    <w:bookmarkEnd w:id="50"/>
    <w:bookmarkStart w:id="51" w:name="b-termos-de-utilização"/>
    <w:p>
      <w:pPr>
        <w:pStyle w:val="Heading2"/>
      </w:pPr>
      <w:r>
        <w:t xml:space="preserve">B — Termos de Utilização</w:t>
      </w:r>
    </w:p>
    <w:p>
      <w:pPr>
        <w:pStyle w:val="SourceCode"/>
      </w:pPr>
      <w:r>
        <w:rPr>
          <w:rStyle w:val="FunctionTok"/>
        </w:rPr>
        <w:t xml:space="preserve"># Termos de Utilização — {{PRODUTO}}</w:t>
      </w:r>
      <w:r>
        <w:br/>
      </w:r>
      <w:r>
        <w:br/>
      </w:r>
      <w:r>
        <w:rPr>
          <w:rStyle w:val="NormalTok"/>
        </w:rPr>
        <w:t xml:space="preserve">Última atualização: {{AAAA-MM-DD}}</w:t>
      </w:r>
      <w:r>
        <w:br/>
      </w:r>
      <w:r>
        <w:br/>
      </w:r>
      <w:r>
        <w:rPr>
          <w:rStyle w:val="FunctionTok"/>
        </w:rPr>
        <w:t xml:space="preserve">## 1. O que é este serviço</w:t>
      </w:r>
      <w:r>
        <w:br/>
      </w:r>
      <w:r>
        <w:rPr>
          <w:rStyle w:val="NormalTok"/>
        </w:rPr>
        <w:t xml:space="preserve">{{Uma frase clara: o que faz e a quem se destina.}}</w:t>
      </w:r>
      <w:r>
        <w:br/>
      </w:r>
      <w:r>
        <w:rPr>
          <w:rStyle w:val="NormalTok"/>
        </w:rPr>
        <w:t xml:space="preserve">Fornecido por {{entidade}}, {{NIF}}, {{morada}}.</w:t>
      </w:r>
      <w:r>
        <w:br/>
      </w:r>
      <w:r>
        <w:br/>
      </w:r>
      <w:r>
        <w:rPr>
          <w:rStyle w:val="FunctionTok"/>
        </w:rPr>
        <w:t xml:space="preserve">## 2. Conta</w:t>
      </w:r>
      <w:r>
        <w:br/>
      </w:r>
      <w:r>
        <w:rPr>
          <w:rStyle w:val="NormalTok"/>
        </w:rPr>
        <w:t xml:space="preserve">Precisa de conta para {{...}}. É responsável por manter a palavra-passe segura e</w:t>
      </w:r>
      <w:r>
        <w:br/>
      </w:r>
      <w:r>
        <w:rPr>
          <w:rStyle w:val="NormalTok"/>
        </w:rPr>
        <w:t xml:space="preserve">por tudo o que acontece na sua conta. Avise-nos em {{email}} se suspeitar de uso indevido.</w:t>
      </w:r>
      <w:r>
        <w:br/>
      </w:r>
      <w:r>
        <w:br/>
      </w:r>
      <w:r>
        <w:rPr>
          <w:rStyle w:val="FunctionTok"/>
        </w:rPr>
        <w:t xml:space="preserve">## 3. O que pode e não pode fazer</w:t>
      </w:r>
      <w:r>
        <w:br/>
      </w:r>
      <w:r>
        <w:rPr>
          <w:rStyle w:val="NormalTok"/>
        </w:rPr>
        <w:t xml:space="preserve">Pode usar o serviço para {{...}}.</w:t>
      </w:r>
      <w:r>
        <w:br/>
      </w:r>
      <w:r>
        <w:rPr>
          <w:rStyle w:val="NormalTok"/>
        </w:rPr>
        <w:t xml:space="preserve">Não pode: {{tentar aceder a dados de outros; sobrecarregar o serviço; usar para fins</w:t>
      </w:r>
      <w:r>
        <w:br/>
      </w:r>
      <w:r>
        <w:rPr>
          <w:rStyle w:val="NormalTok"/>
        </w:rPr>
        <w:t xml:space="preserve">ilícitos; copiar ou revender sem autorização}}.</w:t>
      </w:r>
      <w:r>
        <w:br/>
      </w:r>
      <w:r>
        <w:br/>
      </w:r>
      <w:r>
        <w:rPr>
          <w:rStyle w:val="FunctionTok"/>
        </w:rPr>
        <w:t xml:space="preserve">## 4. Conteúdos</w:t>
      </w:r>
      <w:r>
        <w:br/>
      </w:r>
      <w:r>
        <w:rPr>
          <w:rStyle w:val="NormalTok"/>
        </w:rPr>
        <w:t xml:space="preserve">{{Os conteúdos que introduz continuam seus. Concede-nos apenas a licença necessária</w:t>
      </w:r>
      <w:r>
        <w:br/>
      </w:r>
      <w:r>
        <w:rPr>
          <w:rStyle w:val="NormalTok"/>
        </w:rPr>
        <w:t xml:space="preserve">para prestar o serviço.}}</w:t>
      </w:r>
      <w:r>
        <w:br/>
      </w:r>
      <w:r>
        <w:rPr>
          <w:rStyle w:val="NormalTok"/>
        </w:rPr>
        <w:t xml:space="preserve">{{O software, marca e desenho do serviço são nossos.}}</w:t>
      </w:r>
      <w:r>
        <w:br/>
      </w:r>
      <w:r>
        <w:br/>
      </w:r>
      <w:r>
        <w:rPr>
          <w:rStyle w:val="FunctionTok"/>
        </w:rPr>
        <w:t xml:space="preserve">## 5. Disponibilidade</w:t>
      </w:r>
      <w:r>
        <w:br/>
      </w:r>
      <w:r>
        <w:rPr>
          <w:rStyle w:val="NormalTok"/>
        </w:rPr>
        <w:t xml:space="preserve">Esforçamo-nos por manter o serviço disponível, {{com o nível descrito no SLA</w:t>
      </w:r>
      <w:r>
        <w:br/>
      </w:r>
      <w:r>
        <w:rPr>
          <w:rStyle w:val="NormalTok"/>
        </w:rPr>
        <w:t xml:space="preserve">contratado}}. Pode haver interrupções para manutenção, avisadas com {{48 h}}</w:t>
      </w:r>
      <w:r>
        <w:br/>
      </w:r>
      <w:r>
        <w:rPr>
          <w:rStyle w:val="NormalTok"/>
        </w:rPr>
        <w:t xml:space="preserve">sempre que possível.</w:t>
      </w:r>
      <w:r>
        <w:br/>
      </w:r>
      <w:r>
        <w:br/>
      </w:r>
      <w:r>
        <w:rPr>
          <w:rStyle w:val="FunctionTok"/>
        </w:rPr>
        <w:t xml:space="preserve">## 6. Preço e pagamento</w:t>
      </w:r>
      <w:r>
        <w:br/>
      </w:r>
      <w:r>
        <w:rPr>
          <w:rStyle w:val="NormalTok"/>
        </w:rPr>
        <w:t xml:space="preserve">{{Valores, periodicidade, o que acontece em caso de falta de pagamento.}}</w:t>
      </w:r>
      <w:r>
        <w:br/>
      </w:r>
      <w:r>
        <w:br/>
      </w:r>
      <w:r>
        <w:rPr>
          <w:rStyle w:val="FunctionTok"/>
        </w:rPr>
        <w:t xml:space="preserve">## 7. Cancelamento</w:t>
      </w:r>
      <w:r>
        <w:br/>
      </w:r>
      <w:r>
        <w:rPr>
          <w:rStyle w:val="NormalTok"/>
        </w:rPr>
        <w:t xml:space="preserve">Pode cancelar quando quiser em {{onde}}. Após o cancelamento, os seus dados são</w:t>
      </w:r>
      <w:r>
        <w:br/>
      </w:r>
      <w:r>
        <w:rPr>
          <w:rStyle w:val="NormalTok"/>
        </w:rPr>
        <w:t xml:space="preserve">{{apagados ao fim de {{30 dias}}}} e pode exportá-los antes disso.</w:t>
      </w:r>
      <w:r>
        <w:br/>
      </w:r>
      <w:r>
        <w:rPr>
          <w:rStyle w:val="NormalTok"/>
        </w:rPr>
        <w:t xml:space="preserve">Podemos suspender a conta em caso de {{incumprimento grave}}, com aviso prévio</w:t>
      </w:r>
      <w:r>
        <w:br/>
      </w:r>
      <w:r>
        <w:rPr>
          <w:rStyle w:val="NormalTok"/>
        </w:rPr>
        <w:t xml:space="preserve">sempre que possível.</w:t>
      </w:r>
      <w:r>
        <w:br/>
      </w:r>
      <w:r>
        <w:br/>
      </w:r>
      <w:r>
        <w:rPr>
          <w:rStyle w:val="FunctionTok"/>
        </w:rPr>
        <w:t xml:space="preserve">## 8. Responsabilidade</w:t>
      </w:r>
      <w:r>
        <w:br/>
      </w:r>
      <w:r>
        <w:rPr>
          <w:rStyle w:val="NormalTok"/>
        </w:rPr>
        <w:t xml:space="preserve">{{Limitação de responsabilidade — cláusula a redigir com apoio jurídico, respeitando</w:t>
      </w:r>
      <w:r>
        <w:br/>
      </w:r>
      <w:r>
        <w:rPr>
          <w:rStyle w:val="NormalTok"/>
        </w:rPr>
        <w:t xml:space="preserve">os direitos que a lei do consumidor não permite afastar.}}</w:t>
      </w:r>
      <w:r>
        <w:br/>
      </w:r>
      <w:r>
        <w:br/>
      </w:r>
      <w:r>
        <w:rPr>
          <w:rStyle w:val="FunctionTok"/>
        </w:rPr>
        <w:t xml:space="preserve">## 9. Lei aplicável</w:t>
      </w:r>
      <w:r>
        <w:br/>
      </w:r>
      <w:r>
        <w:rPr>
          <w:rStyle w:val="NormalTok"/>
        </w:rPr>
        <w:t xml:space="preserve">Aplica-se a lei portuguesa. {{Foro: {{comarca}}, sem prejuízo dos direitos do consumidor.}}</w:t>
      </w:r>
      <w:r>
        <w:br/>
      </w:r>
      <w:r>
        <w:br/>
      </w:r>
      <w:r>
        <w:rPr>
          <w:rStyle w:val="FunctionTok"/>
        </w:rPr>
        <w:t xml:space="preserve">## 10. Contacto</w:t>
      </w:r>
      <w:r>
        <w:br/>
      </w:r>
      <w:r>
        <w:rPr>
          <w:rStyle w:val="NormalTok"/>
        </w:rPr>
        <w:t xml:space="preserve">{{email}} · {{morada}}</w:t>
      </w:r>
    </w:p>
    <w:p>
      <w:r>
        <w:pict>
          <v:rect style="width:0;height:1.5pt" o:hralign="center" o:hrstd="t" o:hr="t"/>
        </w:pict>
      </w:r>
    </w:p>
    <w:bookmarkEnd w:id="51"/>
    <w:bookmarkStart w:id="52" w:name="c-lista-de-verificação-antes-de-publicar"/>
    <w:p>
      <w:pPr>
        <w:pStyle w:val="Heading2"/>
      </w:pPr>
      <w:r>
        <w:t xml:space="preserve">C — Lista de verificação antes de publicar</w:t>
      </w:r>
    </w:p>
    <w:p>
      <w:pPr>
        <w:pStyle w:val="Compact"/>
        <w:numPr>
          <w:ilvl w:val="0"/>
          <w:numId w:val="1001"/>
        </w:numPr>
      </w:pPr>
      <w:r>
        <w:t xml:space="preserve">Revisto por quem tem competência jurídica</w:t>
      </w:r>
    </w:p>
    <w:p>
      <w:pPr>
        <w:pStyle w:val="Compact"/>
        <w:numPr>
          <w:ilvl w:val="0"/>
          <w:numId w:val="1002"/>
        </w:numPr>
      </w:pPr>
      <w:r>
        <w:t xml:space="preserve">A tabela de dados corresponde ao</w:t>
      </w:r>
      <w:r>
        <w:t xml:space="preserve"> </w:t>
      </w:r>
      <w:hyperlink r:id="rId49">
        <w:r>
          <w:rPr>
            <w:rStyle w:val="Hyperlink"/>
          </w:rPr>
          <w:t xml:space="preserve">registo de tratamentos</w:t>
        </w:r>
      </w:hyperlink>
      <w:r>
        <w:t xml:space="preserve"> </w:t>
      </w:r>
      <w:r>
        <w:t xml:space="preserve">— não pode dizer menos do que o que se faz</w:t>
      </w:r>
    </w:p>
    <w:p>
      <w:pPr>
        <w:pStyle w:val="Compact"/>
        <w:numPr>
          <w:ilvl w:val="0"/>
          <w:numId w:val="1003"/>
        </w:numPr>
      </w:pPr>
      <w:r>
        <w:t xml:space="preserve">Todos os subcontratantes listados têm contrato do artigo 28.º</w:t>
      </w:r>
    </w:p>
    <w:p>
      <w:pPr>
        <w:pStyle w:val="Compact"/>
        <w:numPr>
          <w:ilvl w:val="0"/>
          <w:numId w:val="1004"/>
        </w:numPr>
      </w:pPr>
      <w:r>
        <w:t xml:space="preserve">Prazos de conservação coerentes com o registo interno</w:t>
      </w:r>
    </w:p>
    <w:p>
      <w:pPr>
        <w:pStyle w:val="Compact"/>
        <w:numPr>
          <w:ilvl w:val="0"/>
          <w:numId w:val="1005"/>
        </w:numPr>
      </w:pPr>
      <w:r>
        <w:t xml:space="preserve">Contacto de privacidade existe mesmo e alguém o lê</w:t>
      </w:r>
    </w:p>
    <w:p>
      <w:pPr>
        <w:pStyle w:val="Compact"/>
        <w:numPr>
          <w:ilvl w:val="0"/>
          <w:numId w:val="1006"/>
        </w:numPr>
      </w:pPr>
      <w:r>
        <w:t xml:space="preserve">Ligações acessíveis a partir do registo, do rodapé e da ficha da loja</w:t>
      </w:r>
    </w:p>
    <w:p>
      <w:pPr>
        <w:pStyle w:val="Compact"/>
        <w:numPr>
          <w:ilvl w:val="0"/>
          <w:numId w:val="1007"/>
        </w:numPr>
      </w:pPr>
      <w:r>
        <w:t xml:space="preserve">Versão e data visíveis; versões anteriores acessíveis</w:t>
      </w:r>
    </w:p>
    <w:p>
      <w:pPr>
        <w:pStyle w:val="Compact"/>
        <w:numPr>
          <w:ilvl w:val="0"/>
          <w:numId w:val="1008"/>
        </w:numPr>
      </w:pPr>
      <w:r>
        <w:t xml:space="preserve">Se há cookies não essenciais, existe recolha de consentimento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os colocar</w:t>
      </w:r>
    </w:p>
    <w:p>
      <w:pPr>
        <w:pStyle w:val="Compact"/>
        <w:numPr>
          <w:ilvl w:val="0"/>
          <w:numId w:val="1009"/>
        </w:numPr>
      </w:pPr>
      <w:r>
        <w:t xml:space="preserve">Redigido em linguagem simples — se o utilizador médio não perceber, não cumpre o RGPD</w:t>
      </w:r>
    </w:p>
    <w:p>
      <w:r>
        <w:pict>
          <v:rect style="width:0;height:1.5pt" o:hralign="center" o:hrstd="t" o:hr="t"/>
        </w:pict>
      </w:r>
    </w:p>
    <w:bookmarkEnd w:id="52"/>
    <w:bookmarkStart w:id="57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registo interno que sustenta estes textos</w:t>
            </w:r>
          </w:p>
        </w:tc>
      </w:tr>
      <w:tr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Segurança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 medidas que a política afirma existir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Publicação nas Lojas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estes documentos são exigidos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Acordo de Nível de Serviço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disponibilidade prometida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Conteúdo e Microtextos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tom de voz destes textos</w:t>
            </w:r>
          </w:p>
        </w:tc>
      </w:tr>
    </w:tbl>
    <w:bookmarkEnd w:id="5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6" Target="../02-design/05-conteudo-e-microtextos.md" TargetMode="External" /><Relationship Type="http://schemas.openxmlformats.org/officeDocument/2006/relationships/hyperlink" Id="rId55" Target="../06-operacao/06-acordo-nivel-servico.md" TargetMode="External" /><Relationship Type="http://schemas.openxmlformats.org/officeDocument/2006/relationships/hyperlink" Id="rId54" Target="../06-operacao/12-publicacao-nas-lojas.md" TargetMode="External" /><Relationship Type="http://schemas.openxmlformats.org/officeDocument/2006/relationships/hyperlink" Id="rId53" Target="01-seguranca.md" TargetMode="External" /><Relationship Type="http://schemas.openxmlformats.org/officeDocument/2006/relationships/hyperlink" Id="rId49" Target="02-privacidade-rgp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02-design/05-conteudo-e-microtextos.md" TargetMode="External" /><Relationship Type="http://schemas.openxmlformats.org/officeDocument/2006/relationships/hyperlink" Id="rId55" Target="../06-operacao/06-acordo-nivel-servico.md" TargetMode="External" /><Relationship Type="http://schemas.openxmlformats.org/officeDocument/2006/relationships/hyperlink" Id="rId54" Target="../06-operacao/12-publicacao-nas-lojas.md" TargetMode="External" /><Relationship Type="http://schemas.openxmlformats.org/officeDocument/2006/relationships/hyperlink" Id="rId53" Target="01-seguranca.md" TargetMode="External" /><Relationship Type="http://schemas.openxmlformats.org/officeDocument/2006/relationships/hyperlink" Id="rId49" Target="02-privacidade-rgp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Privacidade e Termos de Utilização — modelos públicos</dc:title>
  <dc:creator/>
  <dc:language>pt-PT</dc:language>
  <cp:keywords/>
  <dcterms:created xsi:type="dcterms:W3CDTF">2026-08-24T15:59:33Z</dcterms:created>
  <dcterms:modified xsi:type="dcterms:W3CDTF">2026-08-24T15:59:33Z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