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do Utilizador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 do produto: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Atualizado em:</w:t>
      </w:r>
      <w:r>
        <w:t xml:space="preserve"> </w:t>
      </w:r>
      <w:r>
        <w:t xml:space="preserve">{{AAAA-MM-DD}}</w:t>
      </w:r>
    </w:p>
    <w:p>
      <w:pPr>
        <w:pStyle w:val="BlockText"/>
      </w:pPr>
      <w:r>
        <w:rPr>
          <w:b/>
          <w:bCs/>
        </w:rPr>
        <w:t xml:space="preserve">Como está organizado este manual</w:t>
      </w:r>
      <w:r>
        <w:t xml:space="preserve"> </w:t>
      </w:r>
      <w:r>
        <w:t xml:space="preserve">— segue o modelo</w:t>
      </w:r>
      <w:r>
        <w:t xml:space="preserve"> </w:t>
      </w:r>
      <w:hyperlink r:id="rId49">
        <w:r>
          <w:rPr>
            <w:rStyle w:val="Hyperlink"/>
          </w:rPr>
          <w:t xml:space="preserve">Diátaxis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Tutoriais</w:t>
      </w:r>
      <w:r>
        <w:t xml:space="preserve"> </w:t>
      </w:r>
      <w:r>
        <w:t xml:space="preserve">(§2) — aprender fazendo, do zero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Guias práticos</w:t>
      </w:r>
      <w:r>
        <w:t xml:space="preserve"> </w:t>
      </w:r>
      <w:r>
        <w:t xml:space="preserve">(§3) — resolver um problema concreto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Referência</w:t>
      </w:r>
      <w:r>
        <w:t xml:space="preserve"> </w:t>
      </w:r>
      <w:r>
        <w:t xml:space="preserve">(§4) — consultar detalhes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Explicações</w:t>
      </w:r>
      <w:r>
        <w:t xml:space="preserve"> </w:t>
      </w:r>
      <w:r>
        <w:t xml:space="preserve">(§5) — compreender conceitos</w:t>
      </w:r>
    </w:p>
    <w:p>
      <w:pPr>
        <w:pStyle w:val="BlockText"/>
      </w:pPr>
      <w:r>
        <w:t xml:space="preserve">Não mistures os quatro: um tutorial que explica teoria a meio perde o aluno; uma referência com narrativa não se consulta.</w:t>
      </w:r>
    </w:p>
    <w:p>
      <w:r>
        <w:pict>
          <v:rect style="width:0;height:1.5pt" o:hralign="center" o:hrstd="t" o:hr="t"/>
        </w:pict>
      </w:r>
    </w:p>
    <w:bookmarkStart w:id="53" w:name="antes-de-começar"/>
    <w:p>
      <w:pPr>
        <w:pStyle w:val="Heading2"/>
      </w:pPr>
      <w:r>
        <w:t xml:space="preserve">1. Antes de começar</w:t>
      </w:r>
    </w:p>
    <w:bookmarkStart w:id="50" w:name="o-que-é-o-produto"/>
    <w:p>
      <w:pPr>
        <w:pStyle w:val="Heading3"/>
      </w:pPr>
      <w:r>
        <w:t xml:space="preserve">O que é o {{produto}}</w:t>
      </w:r>
    </w:p>
    <w:p>
      <w:pPr>
        <w:pStyle w:val="FirstParagraph"/>
      </w:pPr>
      <w:r>
        <w:t xml:space="preserve">{{2-3 frases em linguagem simples, sem jargão.}}</w:t>
      </w:r>
    </w:p>
    <w:bookmarkEnd w:id="50"/>
    <w:bookmarkStart w:id="51" w:name="requisitos"/>
    <w:p>
      <w:pPr>
        <w:pStyle w:val="Heading3"/>
      </w:pPr>
      <w:r>
        <w:t xml:space="preserve">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{{Chrome, Firefox, Safari ou Edge — últimas 2 versões}}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{{Fornecida pelo administrador da tua organização}}</w:t>
            </w:r>
          </w:p>
        </w:tc>
      </w:tr>
    </w:tbl>
    <w:bookmarkEnd w:id="51"/>
    <w:bookmarkStart w:id="52" w:name="primeiro-acesso"/>
    <w:p>
      <w:pPr>
        <w:pStyle w:val="Heading3"/>
      </w:pPr>
      <w:r>
        <w:t xml:space="preserve">Primeiro acesso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tutoriais-aprender-fazendo"/>
    <w:p>
      <w:pPr>
        <w:pStyle w:val="Heading2"/>
      </w:pPr>
      <w:r>
        <w:t xml:space="preserve">2. Tutoriais (aprender fazendo)</w:t>
      </w:r>
    </w:p>
    <w:bookmarkStart w:id="59" w:name="Xfe768269bb62e7fe6a254ea505d27c4fef3f2ea"/>
    <w:p>
      <w:pPr>
        <w:pStyle w:val="Heading3"/>
      </w:pPr>
      <w:r>
        <w:t xml:space="preserve">Tutorial 1 — {{Criar a tua primeira encomenda}}</w:t>
      </w:r>
    </w:p>
    <w:p>
      <w:pPr>
        <w:pStyle w:val="BlockText"/>
      </w:pPr>
      <w:r>
        <w:rPr>
          <w:b/>
          <w:bCs/>
        </w:rPr>
        <w:t xml:space="preserve">Vais aprender:</w:t>
      </w:r>
      <w:r>
        <w:t xml:space="preserve"> </w:t>
      </w:r>
      <w:r>
        <w:t xml:space="preserve">a criar, submeter e acompanhar uma encomenda.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{{10 minutos}}</w:t>
      </w:r>
      <w:r>
        <w:t xml:space="preserve"> </w:t>
      </w:r>
      <w:r>
        <w:rPr>
          <w:b/>
          <w:bCs/>
        </w:rPr>
        <w:t xml:space="preserve">Precisas de:</w:t>
      </w:r>
      <w:r>
        <w:t xml:space="preserve"> </w:t>
      </w:r>
      <w:r>
        <w:t xml:space="preserve">uma conta com o papel {{Cliente}}.</w:t>
      </w:r>
    </w:p>
    <w:bookmarkStart w:id="54" w:name="passo-1-aceder-à-área-de-encomendas"/>
    <w:p>
      <w:pPr>
        <w:pStyle w:val="Heading4"/>
      </w:pPr>
      <w:r>
        <w:t xml:space="preserve">Passo 1 — Aceder à área de encomendas</w:t>
      </w:r>
    </w:p>
    <w:p>
      <w:pPr>
        <w:pStyle w:val="FirstParagraph"/>
      </w:pPr>
      <w:r>
        <w:t xml:space="preserve">{{Instrução clara, uma ação por passo.}}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{{Descrição da imagem para leitores de ecrã}}</w:t>
            </w:r>
          </w:p>
        </w:tc>
      </w:tr>
    </w:tbl>
    <w:p>
      <w:pPr>
        <w:pStyle w:val="ImageCaption"/>
      </w:pPr>
      <w:r>
        <w:t xml:space="preserve">{{Descrição da imagem para leitores de ecrã}}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Deves ver:</w:t>
      </w:r>
      <w:r>
        <w:t xml:space="preserve"> </w:t>
      </w:r>
      <w:r>
        <w:t xml:space="preserve">{{descrição do que confirma que o passo correu bem}}</w:t>
      </w:r>
    </w:p>
    <w:bookmarkEnd w:id="54"/>
    <w:bookmarkStart w:id="55" w:name="passo-2"/>
    <w:p>
      <w:pPr>
        <w:pStyle w:val="Heading4"/>
      </w:pPr>
      <w:r>
        <w:t xml:space="preserve">Passo 2 — {{…}}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{{erro comum neste ponto e como o evitar}}</w:t>
      </w:r>
    </w:p>
    <w:bookmarkEnd w:id="55"/>
    <w:bookmarkStart w:id="56" w:name="passo-3"/>
    <w:p>
      <w:pPr>
        <w:pStyle w:val="Heading4"/>
      </w:pPr>
      <w:r>
        <w:t xml:space="preserve">Passo 3 — {{…}}</w:t>
      </w:r>
    </w:p>
    <w:bookmarkEnd w:id="56"/>
    <w:bookmarkStart w:id="57" w:name="o-que-aprendeste"/>
    <w:p>
      <w:pPr>
        <w:pStyle w:val="Heading4"/>
      </w:pPr>
      <w:r>
        <w:t xml:space="preserve">O que aprendeste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57"/>
    <w:bookmarkStart w:id="58" w:name="a-seguir"/>
    <w:p>
      <w:pPr>
        <w:pStyle w:val="Heading4"/>
      </w:pPr>
      <w:r>
        <w:t xml:space="preserve">A seguir</w:t>
      </w:r>
    </w:p>
    <w:p>
      <w:pPr>
        <w:pStyle w:val="Compact"/>
        <w:numPr>
          <w:ilvl w:val="0"/>
          <w:numId w:val="1003"/>
        </w:numPr>
      </w:pPr>
      <w:hyperlink w:anchor="tutorial-2--">
        <w:r>
          <w:rPr>
            <w:rStyle w:val="Hyperlink"/>
          </w:rPr>
          <w:t xml:space="preserve">Tutorial 2 — {{…}}</w:t>
        </w:r>
      </w:hyperlink>
    </w:p>
    <w:p>
      <w:pPr>
        <w:pStyle w:val="Compact"/>
        <w:numPr>
          <w:ilvl w:val="0"/>
          <w:numId w:val="1003"/>
        </w:numPr>
      </w:pPr>
      <w:hyperlink w:anchor="como-cancelar-uma-encomenda">
        <w:r>
          <w:rPr>
            <w:rStyle w:val="Hyperlink"/>
          </w:rPr>
          <w:t xml:space="preserve">Como cancelar uma encomenda</w:t>
        </w:r>
      </w:hyperlink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guias-práticos-resolver-um-problema"/>
    <w:p>
      <w:pPr>
        <w:pStyle w:val="Heading2"/>
      </w:pPr>
      <w:r>
        <w:t xml:space="preserve">3. Guias práticos (resolver um problema)</w:t>
      </w:r>
    </w:p>
    <w:p>
      <w:pPr>
        <w:pStyle w:val="BlockText"/>
      </w:pPr>
      <w:r>
        <w:t xml:space="preserve">Formato: título começa por</w:t>
      </w:r>
      <w:r>
        <w:t xml:space="preserve"> </w:t>
      </w:r>
      <w:r>
        <w:t xml:space="preserve">“Como…”</w:t>
      </w:r>
      <w:r>
        <w:t xml:space="preserve">, pressupõe que já sabes o básico, vai direto ao assunto.</w:t>
      </w:r>
    </w:p>
    <w:bookmarkStart w:id="61" w:name="como-cancelar-uma-encomenda"/>
    <w:p>
      <w:pPr>
        <w:pStyle w:val="Heading3"/>
      </w:pPr>
      <w:r>
        <w:t xml:space="preserve">Como cancelar uma encomenda</w:t>
      </w:r>
    </w:p>
    <w:p>
      <w:pPr>
        <w:pStyle w:val="FirstParagraph"/>
      </w:pPr>
      <w:r>
        <w:rPr>
          <w:b/>
          <w:bCs/>
        </w:rPr>
        <w:t xml:space="preserve">Podes cancelar</w:t>
      </w:r>
      <w:r>
        <w:t xml:space="preserve"> </w:t>
      </w:r>
      <w:r>
        <w:t xml:space="preserve">enquanto a encomenda não tiver sido expedida.</w:t>
      </w:r>
    </w:p>
    <w:p>
      <w:pPr>
        <w:pStyle w:val="Compact"/>
        <w:numPr>
          <w:ilvl w:val="0"/>
          <w:numId w:val="1004"/>
        </w:numPr>
      </w:pPr>
      <w:r>
        <w:t xml:space="preserve">{{…}}</w:t>
      </w:r>
    </w:p>
    <w:p>
      <w:pPr>
        <w:pStyle w:val="Compact"/>
        <w:numPr>
          <w:ilvl w:val="0"/>
          <w:numId w:val="1004"/>
        </w:numPr>
      </w:pPr>
      <w:r>
        <w:t xml:space="preserve">{{…}}</w:t>
      </w:r>
    </w:p>
    <w:p>
      <w:pPr>
        <w:pStyle w:val="FirstParagraph"/>
      </w:pPr>
      <w:r>
        <w:rPr>
          <w:b/>
          <w:bCs/>
        </w:rPr>
        <w:t xml:space="preserve">Se a encomenda já foi expedida:</w:t>
      </w:r>
      <w:r>
        <w:t xml:space="preserve"> </w:t>
      </w:r>
      <w:r>
        <w:t xml:space="preserve">{{contactar o apoio ao cliente através de {{…}}}}</w:t>
      </w:r>
    </w:p>
    <w:bookmarkEnd w:id="61"/>
    <w:bookmarkStart w:id="62" w:name="como-exportar-encomendas-para-excel"/>
    <w:p>
      <w:pPr>
        <w:pStyle w:val="Heading3"/>
      </w:pPr>
      <w:r>
        <w:t xml:space="preserve">Como exportar encomendas para Excel</w:t>
      </w:r>
    </w:p>
    <w:p>
      <w:pPr>
        <w:pStyle w:val="Compact"/>
        <w:numPr>
          <w:ilvl w:val="0"/>
          <w:numId w:val="1005"/>
        </w:numPr>
      </w:pPr>
      <w:r>
        <w:t xml:space="preserve">{{…}}</w:t>
      </w:r>
    </w:p>
    <w:p>
      <w:pPr>
        <w:pStyle w:val="FirstParagraph"/>
      </w:pPr>
      <w:r>
        <w:rPr>
          <w:b/>
          <w:bCs/>
        </w:rPr>
        <w:t xml:space="preserve">Limite:</w:t>
      </w:r>
      <w:r>
        <w:t xml:space="preserve"> </w:t>
      </w:r>
      <w:r>
        <w:t xml:space="preserve">{{a exportação inclui no máximo 10 000 linhas; para mais, filtra por período}}</w:t>
      </w:r>
    </w:p>
    <w:bookmarkEnd w:id="62"/>
    <w:bookmarkStart w:id="63" w:name="como"/>
    <w:p>
      <w:pPr>
        <w:pStyle w:val="Heading3"/>
      </w:pPr>
      <w:r>
        <w:t xml:space="preserve">Como {{…}}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referência"/>
    <w:p>
      <w:pPr>
        <w:pStyle w:val="Heading2"/>
      </w:pPr>
      <w:r>
        <w:t xml:space="preserve">4. Referência</w:t>
      </w:r>
    </w:p>
    <w:bookmarkStart w:id="65" w:name="estados-de-uma-encomenda"/>
    <w:p>
      <w:pPr>
        <w:pStyle w:val="Heading3"/>
      </w:pPr>
      <w:r>
        <w:t xml:space="preserve">4.1 Estados de uma encomenda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significa</w:t>
            </w:r>
          </w:p>
        </w:tc>
        <w:tc>
          <w:tcPr/>
          <w:p>
            <w:pPr>
              <w:pStyle w:val="Compact"/>
            </w:pPr>
            <w:r>
              <w:t xml:space="preserve">O que podes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Rascunho</w:t>
            </w:r>
          </w:p>
        </w:tc>
        <w:tc>
          <w:tcPr/>
          <w:p>
            <w:pPr>
              <w:pStyle w:val="Compact"/>
            </w:pPr>
            <w:r>
              <w:t xml:space="preserve">Ainda não foi submetida; só tu a vês</w:t>
            </w:r>
          </w:p>
        </w:tc>
        <w:tc>
          <w:tcPr/>
          <w:p>
            <w:pPr>
              <w:pStyle w:val="Compact"/>
            </w:pPr>
            <w:r>
              <w:t xml:space="preserve">Editar, submeter, 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Submetida</w:t>
            </w:r>
          </w:p>
        </w:tc>
        <w:tc>
          <w:tcPr/>
          <w:p>
            <w:pPr>
              <w:pStyle w:val="Compact"/>
            </w:pPr>
            <w:r>
              <w:t xml:space="preserve">Enviada, a ser validada automaticamente</w:t>
            </w:r>
          </w:p>
        </w:tc>
        <w:tc>
          <w:tcPr/>
          <w:p>
            <w:pPr>
              <w:pStyle w:val="Compact"/>
            </w:pPr>
            <w:r>
              <w:t xml:space="preserve">Aguardar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Aguarda aprovação</w:t>
            </w:r>
          </w:p>
        </w:tc>
        <w:tc>
          <w:tcPr/>
          <w:p>
            <w:pPr>
              <w:pStyle w:val="Compact"/>
            </w:pPr>
            <w:r>
              <w:t xml:space="preserve">Valor acima de {{5 000 €}}; precisa de aprovação do gestor</w:t>
            </w:r>
          </w:p>
        </w:tc>
        <w:tc>
          <w:tcPr/>
          <w:p>
            <w:pPr>
              <w:pStyle w:val="Compact"/>
            </w:pPr>
            <w:r>
              <w:t xml:space="preserve">Aguardar ou cancelar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Confirmada; stock reservado</w:t>
            </w:r>
          </w:p>
        </w:tc>
        <w:tc>
          <w:tcPr/>
          <w:p>
            <w:pPr>
              <w:pStyle w:val="Compact"/>
            </w:pPr>
            <w:r>
              <w:t xml:space="preserve">Cancelar (até à expedição)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preparação</w:t>
            </w:r>
          </w:p>
        </w:tc>
        <w:tc>
          <w:tcPr/>
          <w:p>
            <w:pPr>
              <w:pStyle w:val="Compact"/>
            </w:pPr>
            <w:r>
              <w:t xml:space="preserve">A ser preparada no armazém</w:t>
            </w:r>
          </w:p>
        </w:tc>
        <w:tc>
          <w:tcPr/>
          <w:p>
            <w:pPr>
              <w:pStyle w:val="Compact"/>
            </w:pPr>
            <w:r>
              <w:t xml:space="preserve">Cancelar (até à expedição)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Expedida</w:t>
            </w:r>
          </w:p>
        </w:tc>
        <w:tc>
          <w:tcPr/>
          <w:p>
            <w:pPr>
              <w:pStyle w:val="Compact"/>
            </w:pPr>
            <w:r>
              <w:t xml:space="preserve">A caminho</w:t>
            </w:r>
          </w:p>
        </w:tc>
        <w:tc>
          <w:tcPr/>
          <w:p>
            <w:pPr>
              <w:pStyle w:val="Compact"/>
            </w:pPr>
            <w:r>
              <w:t xml:space="preserve">Acompanhar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Entregue</w:t>
            </w:r>
          </w:p>
        </w:tc>
        <w:tc>
          <w:tcPr/>
          <w:p>
            <w:pPr>
              <w:pStyle w:val="Compact"/>
            </w:pPr>
            <w:r>
              <w:t xml:space="preserve">Concluída</w:t>
            </w:r>
          </w:p>
        </w:tc>
        <w:tc>
          <w:tcPr/>
          <w:p>
            <w:pPr>
              <w:pStyle w:val="Compact"/>
            </w:pPr>
            <w:r>
              <w:t xml:space="preserve">Consultar, devolver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Anulada a pedido</w:t>
            </w:r>
          </w:p>
        </w:tc>
        <w:tc>
          <w:tcPr/>
          <w:p>
            <w:pPr>
              <w:pStyle w:val="Compact"/>
            </w:pPr>
            <w:r>
              <w:t xml:space="preserve">Consultar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Rejeitada</w:t>
            </w:r>
          </w:p>
        </w:tc>
        <w:tc>
          <w:tcPr/>
          <w:p>
            <w:pPr>
              <w:pStyle w:val="Compact"/>
            </w:pPr>
            <w:r>
              <w:t xml:space="preserve">Não aprovada ou expirou o prazo</w:t>
            </w:r>
          </w:p>
        </w:tc>
        <w:tc>
          <w:tcPr/>
          <w:p>
            <w:pPr>
              <w:pStyle w:val="Compact"/>
            </w:pPr>
            <w:r>
              <w:t xml:space="preserve">Consultar motivo, criar nova</w:t>
            </w:r>
          </w:p>
        </w:tc>
      </w:tr>
    </w:tbl>
    <w:bookmarkEnd w:id="65"/>
    <w:bookmarkStart w:id="66" w:name="papéis-e-permissões"/>
    <w:p>
      <w:pPr>
        <w:pStyle w:val="Heading3"/>
      </w:pPr>
      <w:r>
        <w:t xml:space="preserve">4.2 Papéis e permissões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encomenda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encomendas próprias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encomendas de todos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até {{25 000 €}}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acima de {{25 000 €}}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Gerir utilizadores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66"/>
    <w:bookmarkStart w:id="67" w:name="campos-de-uma-encomenda"/>
    <w:p>
      <w:pPr>
        <w:pStyle w:val="Heading3"/>
      </w:pPr>
      <w:r>
        <w:t xml:space="preserve">4.3 Campos de uma encomenda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Seleção</w:t>
            </w:r>
          </w:p>
        </w:tc>
        <w:tc>
          <w:tcPr/>
          <w:p>
            <w:pPr>
              <w:pStyle w:val="Compact"/>
            </w:pPr>
            <w:r>
              <w:t xml:space="preserve">Só clientes 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 interna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Texto até 50 caracteres</w:t>
            </w:r>
          </w:p>
        </w:tc>
        <w:tc>
          <w:tcPr/>
          <w:p>
            <w:pPr>
              <w:pStyle w:val="Compact"/>
            </w:pPr>
            <w:r>
              <w:t xml:space="preserve">Aparece na fatura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entrega pretendida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Mínimo {{2 dias úteis}}</w:t>
            </w:r>
          </w:p>
        </w:tc>
      </w:tr>
    </w:tbl>
    <w:bookmarkEnd w:id="67"/>
    <w:bookmarkStart w:id="68" w:name="atalhos-de-teclado"/>
    <w:p>
      <w:pPr>
        <w:pStyle w:val="Heading3"/>
      </w:pPr>
      <w:r>
        <w:t xml:space="preserve">4.4 Atalhos de teclado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Atalho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Nova encomenda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/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Focar na pesquisa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Esc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Fechar 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?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Ver todos os atalhos</w:t>
            </w:r>
          </w:p>
        </w:tc>
      </w:tr>
    </w:tbl>
    <w:bookmarkEnd w:id="68"/>
    <w:bookmarkStart w:id="69" w:name="limites"/>
    <w:p>
      <w:pPr>
        <w:pStyle w:val="Heading3"/>
      </w:pPr>
      <w:r>
        <w:t xml:space="preserve">4.5 Limites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Linhas por encomenda</w:t>
            </w:r>
          </w:p>
        </w:tc>
        <w:tc>
          <w:tcPr/>
          <w:p>
            <w:pPr>
              <w:pStyle w:val="Compact"/>
            </w:pPr>
            <w:r>
              <w:t xml:space="preserve">{{500}}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 de anexo</w:t>
            </w:r>
          </w:p>
        </w:tc>
        <w:tc>
          <w:tcPr/>
          <w:p>
            <w:pPr>
              <w:pStyle w:val="Compact"/>
            </w:pPr>
            <w:r>
              <w:t xml:space="preserve">{{10 MB}}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</w:t>
            </w:r>
          </w:p>
        </w:tc>
        <w:tc>
          <w:tcPr/>
          <w:p>
            <w:pPr>
              <w:pStyle w:val="Compact"/>
            </w:pPr>
            <w:r>
              <w:t xml:space="preserve">{{10 000 linhas}}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explicações-compreender"/>
    <w:p>
      <w:pPr>
        <w:pStyle w:val="Heading2"/>
      </w:pPr>
      <w:r>
        <w:t xml:space="preserve">5. Explicações (compreender)</w:t>
      </w:r>
    </w:p>
    <w:bookmarkStart w:id="71" w:name="X4079ca021fb433a9bfb2ad98d6a4780e45ef640"/>
    <w:p>
      <w:pPr>
        <w:pStyle w:val="Heading3"/>
      </w:pPr>
      <w:r>
        <w:t xml:space="preserve">Porque é que algumas encomendas precisam de aprovação</w:t>
      </w:r>
    </w:p>
    <w:p>
      <w:pPr>
        <w:pStyle w:val="FirstParagraph"/>
      </w:pPr>
      <w:r>
        <w:t xml:space="preserve">{{Explica a política de negócio em linguagem simples: acima de certo valor, a organização exige uma segunda pessoa a confirmar. Não é desconfiança — é controlo de risco financeiro. Ver a tabela de limites em §4.2.}}</w:t>
      </w:r>
    </w:p>
    <w:bookmarkEnd w:id="71"/>
    <w:bookmarkStart w:id="72" w:name="como-funciona-a-reserva-de-stock"/>
    <w:p>
      <w:pPr>
        <w:pStyle w:val="Heading3"/>
      </w:pPr>
      <w:r>
        <w:t xml:space="preserve">Como funciona a reserva de stock</w:t>
      </w:r>
    </w:p>
    <w:p>
      <w:pPr>
        <w:pStyle w:val="FirstParagraph"/>
      </w:pPr>
      <w:r>
        <w:t xml:space="preserve">{{Explica que a reserva acontece na aprovação, não na submissão, e o que isso significa na prática: entre submeter e aprovar, o stock pode esgotar.}}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esolução-de-problemas"/>
    <w:p>
      <w:pPr>
        <w:pStyle w:val="Heading2"/>
      </w:pPr>
      <w:r>
        <w:t xml:space="preserve">6.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consigo entrar</w:t>
            </w:r>
          </w:p>
        </w:tc>
        <w:tc>
          <w:tcPr/>
          <w:p>
            <w:pPr>
              <w:pStyle w:val="Compact"/>
            </w:pPr>
            <w:r>
              <w:t xml:space="preserve">Palavra-passe errada ou conta bloqueada</w:t>
            </w:r>
          </w:p>
        </w:tc>
        <w:tc>
          <w:tcPr/>
          <w:p>
            <w:pPr>
              <w:pStyle w:val="Compact"/>
            </w:pPr>
            <w:r>
              <w:t xml:space="preserve">Aguarda 15 min ou usa</w:t>
            </w:r>
            <w:r>
              <w:t xml:space="preserve"> </w:t>
            </w:r>
            <w:r>
              <w:t xml:space="preserve">“Recuperar palavra-passe”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“Stock insuficiente”</w:t>
            </w:r>
            <w:r>
              <w:t xml:space="preserve"> </w:t>
            </w:r>
            <w:r>
              <w:t xml:space="preserve">mas o site mostrava disponível</w:t>
            </w:r>
          </w:p>
        </w:tc>
        <w:tc>
          <w:tcPr/>
          <w:p>
            <w:pPr>
              <w:pStyle w:val="Compact"/>
            </w:pPr>
            <w:r>
              <w:t xml:space="preserve">Outra pessoa reservou entretanto</w:t>
            </w:r>
          </w:p>
        </w:tc>
        <w:tc>
          <w:tcPr/>
          <w:p>
            <w:pPr>
              <w:pStyle w:val="Compact"/>
            </w:pPr>
            <w:r>
              <w:t xml:space="preserve">Reduz a quantidade ou escolhe outra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encomenda está</w:t>
            </w:r>
            <w:r>
              <w:t xml:space="preserve"> </w:t>
            </w:r>
            <w:r>
              <w:t xml:space="preserve">“Aguarda aprovação”</w:t>
            </w:r>
            <w:r>
              <w:t xml:space="preserve"> </w:t>
            </w:r>
            <w:r>
              <w:t xml:space="preserve">há muito tempo</w:t>
            </w:r>
          </w:p>
        </w:tc>
        <w:tc>
          <w:tcPr/>
          <w:p>
            <w:pPr>
              <w:pStyle w:val="Compact"/>
            </w:pPr>
            <w:r>
              <w:t xml:space="preserve">O gestor ainda não a viu</w:t>
            </w:r>
          </w:p>
        </w:tc>
        <w:tc>
          <w:tcPr/>
          <w:p>
            <w:pPr>
              <w:pStyle w:val="Compact"/>
            </w:pPr>
            <w:r>
              <w:t xml:space="preserve">Contacta o gestor; expira em {{48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recebi o e-mail de confirmação</w:t>
            </w:r>
          </w:p>
        </w:tc>
        <w:tc>
          <w:tcPr/>
          <w:p>
            <w:pPr>
              <w:pStyle w:val="Compact"/>
            </w:pPr>
            <w:r>
              <w:t xml:space="preserve">Filtro de spam ou e-mail incorreto</w:t>
            </w:r>
          </w:p>
        </w:tc>
        <w:tc>
          <w:tcPr/>
          <w:p>
            <w:pPr>
              <w:pStyle w:val="Compact"/>
            </w:pPr>
            <w:r>
              <w:t xml:space="preserve">Verifica o spam; confirma o e-mail no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página não carrega</w:t>
            </w:r>
          </w:p>
        </w:tc>
        <w:tc>
          <w:tcPr/>
          <w:p>
            <w:pPr>
              <w:pStyle w:val="Compact"/>
            </w:pPr>
            <w:r>
              <w:t xml:space="preserve">Cache do browser ou manutenção</w:t>
            </w:r>
          </w:p>
        </w:tc>
        <w:tc>
          <w:tcPr/>
          <w:p>
            <w:pPr>
              <w:pStyle w:val="Compact"/>
            </w:pPr>
            <w:r>
              <w:t xml:space="preserve">{{Ctrl+Shift+R}}; consulta {{página de estado}}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Ainda com problemas?</w:t>
      </w:r>
      <w:r>
        <w:t xml:space="preserve"> </w:t>
      </w:r>
      <w:r>
        <w:t xml:space="preserve">{{Contacto de suporte}} — inclui: o que estavas a fazer, o que esperavas, o que aconteceu, e uma captura de ecrã.</w:t>
      </w:r>
    </w:p>
    <w:p>
      <w:r>
        <w:pict>
          <v:rect style="width:0;height:1.5pt" o:hralign="center" o:hrstd="t" o:hr="t"/>
        </w:pict>
      </w:r>
    </w:p>
    <w:bookmarkEnd w:id="74"/>
    <w:bookmarkStart w:id="75" w:name="acessibilidade"/>
    <w:p>
      <w:pPr>
        <w:pStyle w:val="Heading2"/>
      </w:pPr>
      <w:r>
        <w:t xml:space="preserve">7. Acessibilidade</w:t>
      </w:r>
    </w:p>
    <w:p>
      <w:pPr>
        <w:pStyle w:val="FirstParagraph"/>
      </w:pPr>
      <w:r>
        <w:t xml:space="preserve">Este produto foi desenhado para cumprir {{WCAG 2.2 nível AA}}.</w:t>
      </w:r>
    </w:p>
    <w:p>
      <w:pPr>
        <w:pStyle w:val="Compact"/>
        <w:numPr>
          <w:ilvl w:val="0"/>
          <w:numId w:val="1006"/>
        </w:numPr>
      </w:pPr>
      <w:r>
        <w:t xml:space="preserve">Navegação completa por teclado (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Compatível com leitores de ecrã ({{NVDA, JAWS, VoiceOver}})</w:t>
      </w:r>
    </w:p>
    <w:p>
      <w:pPr>
        <w:pStyle w:val="Compact"/>
        <w:numPr>
          <w:ilvl w:val="0"/>
          <w:numId w:val="1006"/>
        </w:numPr>
      </w:pPr>
      <w:r>
        <w:t xml:space="preserve">Contraste adequado; funciona com zoom até 200%</w:t>
      </w:r>
    </w:p>
    <w:p>
      <w:pPr>
        <w:pStyle w:val="Compact"/>
        <w:numPr>
          <w:ilvl w:val="0"/>
          <w:numId w:val="1006"/>
        </w:numPr>
      </w:pPr>
      <w:r>
        <w:t xml:space="preserve">{{Modo de contraste elevado disponível em Definições}}</w:t>
      </w:r>
    </w:p>
    <w:p>
      <w:pPr>
        <w:pStyle w:val="FirstParagraph"/>
      </w:pPr>
      <w:r>
        <w:rPr>
          <w:b/>
          <w:bCs/>
        </w:rPr>
        <w:t xml:space="preserve">Encontraste uma barreira de acessibilidade?</w:t>
      </w:r>
      <w:r>
        <w:t xml:space="preserve"> </w:t>
      </w:r>
      <w:r>
        <w:t xml:space="preserve">{{contacto}} — tratamos estes reportes com prioridade.</w:t>
      </w:r>
    </w:p>
    <w:p>
      <w:r>
        <w:pict>
          <v:rect style="width:0;height:1.5pt" o:hralign="center" o:hrstd="t" o:hr="t"/>
        </w:pict>
      </w:r>
    </w:p>
    <w:bookmarkEnd w:id="75"/>
    <w:bookmarkStart w:id="76" w:name="glossário"/>
    <w:p>
      <w:pPr>
        <w:pStyle w:val="Heading2"/>
      </w:pPr>
      <w:r>
        <w:t xml:space="preserve">8.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{{Encomenda}}</w:t>
            </w:r>
          </w:p>
        </w:tc>
        <w:tc>
          <w:tcPr/>
          <w:p>
            <w:pPr>
              <w:pStyle w:val="Compact"/>
            </w:pPr>
            <w:r>
              <w:t xml:space="preserve">{{Pedido de fornecimento com preço e prazo acordados}}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{{Reserva}}</w:t>
            </w:r>
          </w:p>
        </w:tc>
        <w:tc>
          <w:tcPr/>
          <w:p>
            <w:pPr>
              <w:pStyle w:val="Compact"/>
            </w:pPr>
            <w:r>
              <w:t xml:space="preserve">{{Stock separado para a tua encomenda; não pode ser vendido a outros}}</w:t>
            </w:r>
          </w:p>
        </w:tc>
      </w:tr>
    </w:tbl>
    <w:bookmarkEnd w:id="7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https://diataxis.f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iataxis.f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 — {{PRODUTO}}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