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Requisitos Não Funcionais (Atributos de Qualidade)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Um RNF só é útil se for</w:t>
      </w:r>
      <w:r>
        <w:t xml:space="preserve"> </w:t>
      </w:r>
      <w:r>
        <w:rPr>
          <w:b/>
          <w:bCs/>
        </w:rPr>
        <w:t xml:space="preserve">mensurável</w:t>
      </w:r>
      <w:r>
        <w:t xml:space="preserve">.</w:t>
      </w:r>
      <w:r>
        <w:t xml:space="preserve"> </w:t>
      </w:r>
      <w:r>
        <w:t xml:space="preserve">“Deve ser rápido”</w:t>
      </w:r>
      <w:r>
        <w:t xml:space="preserve"> </w:t>
      </w:r>
      <w:r>
        <w:t xml:space="preserve">não é requisito;</w:t>
      </w:r>
      <w:r>
        <w:t xml:space="preserve"> </w:t>
      </w:r>
      <w:r>
        <w:t xml:space="preserve">“p95 ≤ 300 ms com 500 utilizadores concorrentes”</w:t>
      </w:r>
      <w:r>
        <w:t xml:space="preserve"> </w:t>
      </w:r>
      <w:r>
        <w:t xml:space="preserve">é.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{{0.1}}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</w:t>
      </w:r>
    </w:p>
    <w:p>
      <w:r>
        <w:pict>
          <v:rect style="width:0;height:1.5pt" o:hralign="center" o:hrstd="t" o:hr="t"/>
        </w:pict>
      </w:r>
    </w:p>
    <w:bookmarkStart w:id="49" w:name="formato-de-cenário-de-qualidade"/>
    <w:p>
      <w:pPr>
        <w:pStyle w:val="Heading2"/>
      </w:pPr>
      <w:r>
        <w:t xml:space="preserve">Formato de cenário de qualidade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Quem/o que gera o estímulo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Estímulo</w:t>
            </w:r>
          </w:p>
        </w:tc>
        <w:tc>
          <w:tcPr/>
          <w:p>
            <w:pPr>
              <w:pStyle w:val="Compact"/>
            </w:pPr>
            <w:r>
              <w:t xml:space="preserve">O evento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Condições (carga normal, pico, degradado)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Artefacto</w:t>
            </w:r>
          </w:p>
        </w:tc>
        <w:tc>
          <w:tcPr/>
          <w:p>
            <w:pPr>
              <w:pStyle w:val="Compact"/>
            </w:pPr>
            <w:r>
              <w:t xml:space="preserve">Parte do sistema afetada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Resposta</w:t>
            </w:r>
          </w:p>
        </w:tc>
        <w:tc>
          <w:tcPr/>
          <w:p>
            <w:pPr>
              <w:pStyle w:val="Compact"/>
            </w:pPr>
            <w:r>
              <w:t xml:space="preserve">O que o sistema 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Valor objetivo verificável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desempenho"/>
    <w:p>
      <w:pPr>
        <w:pStyle w:val="Heading2"/>
      </w:pPr>
      <w:r>
        <w:t xml:space="preserve">1. Desempenho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Condições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Tempo de resposta da API de leitura</w:t>
            </w:r>
          </w:p>
        </w:tc>
        <w:tc>
          <w:tcPr/>
          <w:p>
            <w:pPr>
              <w:pStyle w:val="Compact"/>
            </w:pPr>
            <w:r>
              <w:t xml:space="preserve">p50 ≤ 100 ms · p95 ≤ 300 ms · p99 ≤ 800 ms</w:t>
            </w:r>
          </w:p>
        </w:tc>
        <w:tc>
          <w:tcPr/>
          <w:p>
            <w:pPr>
              <w:pStyle w:val="Compact"/>
            </w:pPr>
            <w:r>
              <w:t xml:space="preserve">500 pedidos/s sustentados</w:t>
            </w:r>
          </w:p>
        </w:tc>
        <w:tc>
          <w:tcPr/>
          <w:p>
            <w:pPr>
              <w:pStyle w:val="Compact"/>
            </w:pPr>
            <w:r>
              <w:t xml:space="preserve">Teste de carga k6 em pré-produção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Carregamento inicial da aplicação web</w:t>
            </w:r>
          </w:p>
        </w:tc>
        <w:tc>
          <w:tcPr/>
          <w:p>
            <w:pPr>
              <w:pStyle w:val="Compact"/>
            </w:pPr>
            <w:r>
              <w:t xml:space="preserve">LCP ≤ 2,5 s · INP ≤ 200 ms · CLS ≤ 0,1</w:t>
            </w:r>
          </w:p>
        </w:tc>
        <w:tc>
          <w:tcPr/>
          <w:p>
            <w:pPr>
              <w:pStyle w:val="Compact"/>
            </w:pPr>
            <w:r>
              <w:t xml:space="preserve">4G, dispositivo médio</w:t>
            </w:r>
          </w:p>
        </w:tc>
        <w:tc>
          <w:tcPr/>
          <w:p>
            <w:pPr>
              <w:pStyle w:val="Compact"/>
            </w:pPr>
            <w:r>
              <w:t xml:space="preserve">Lighthouse CI + 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RNF-03</w:t>
            </w:r>
          </w:p>
        </w:tc>
        <w:tc>
          <w:tcPr/>
          <w:p>
            <w:pPr>
              <w:pStyle w:val="Compact"/>
            </w:pPr>
            <w:r>
              <w:t xml:space="preserve">Processamento em lote {{X}}</w:t>
            </w:r>
          </w:p>
        </w:tc>
        <w:tc>
          <w:tcPr/>
          <w:p>
            <w:pPr>
              <w:pStyle w:val="Compact"/>
            </w:pPr>
            <w:r>
              <w:t xml:space="preserve">{{100 000 registos em ≤ 30 min}}</w:t>
            </w:r>
          </w:p>
        </w:tc>
        <w:tc>
          <w:tcPr/>
          <w:p>
            <w:pPr>
              <w:pStyle w:val="Compact"/>
            </w:pPr>
            <w:r>
              <w:t xml:space="preserve">{{noturno}}</w:t>
            </w:r>
          </w:p>
        </w:tc>
        <w:tc>
          <w:tcPr/>
          <w:p>
            <w:pPr>
              <w:pStyle w:val="Compact"/>
            </w:pPr>
            <w:r>
              <w:t xml:space="preserve">Medição em produção</w:t>
            </w:r>
          </w:p>
        </w:tc>
      </w:tr>
    </w:tbl>
    <w:bookmarkEnd w:id="50"/>
    <w:bookmarkStart w:id="51" w:name="escalabilidade-e-capacidade"/>
    <w:p>
      <w:pPr>
        <w:pStyle w:val="Heading2"/>
      </w:pPr>
      <w:r>
        <w:t xml:space="preserve">2. Escalabilidade e capacidade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</w:t>
            </w:r>
          </w:p>
        </w:tc>
        <w:tc>
          <w:tcPr/>
          <w:p>
            <w:pPr>
              <w:pStyle w:val="Compact"/>
            </w:pPr>
            <w:r>
              <w:t xml:space="preserve">Utilizadores concorrentes suportados</w:t>
            </w:r>
          </w:p>
        </w:tc>
        <w:tc>
          <w:tcPr/>
          <w:p>
            <w:pPr>
              <w:pStyle w:val="Compact"/>
            </w:pPr>
            <w:r>
              <w:t xml:space="preserve">{{2 000}} sem degradar RNF-01</w:t>
            </w:r>
          </w:p>
        </w:tc>
        <w:tc>
          <w:tcPr/>
          <w:p>
            <w:pPr>
              <w:pStyle w:val="Compact"/>
            </w:pPr>
            <w:r>
              <w:t xml:space="preserve">Teste de carga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</w:t>
            </w:r>
          </w:p>
        </w:tc>
        <w:tc>
          <w:tcPr/>
          <w:p>
            <w:pPr>
              <w:pStyle w:val="Compact"/>
            </w:pPr>
            <w:r>
              <w:t xml:space="preserve">Crescimento de dados</w:t>
            </w:r>
          </w:p>
        </w:tc>
        <w:tc>
          <w:tcPr/>
          <w:p>
            <w:pPr>
              <w:pStyle w:val="Compact"/>
            </w:pPr>
            <w:r>
              <w:t xml:space="preserve">{{+40% ao ano durante 3 anos}}</w:t>
            </w:r>
          </w:p>
        </w:tc>
        <w:tc>
          <w:tcPr/>
          <w:p>
            <w:pPr>
              <w:pStyle w:val="Compact"/>
            </w:pPr>
            <w:r>
              <w:t xml:space="preserve">Projeção + teste de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RNF-06</w:t>
            </w:r>
          </w:p>
        </w:tc>
        <w:tc>
          <w:tcPr/>
          <w:p>
            <w:pPr>
              <w:pStyle w:val="Compact"/>
            </w:pPr>
            <w:r>
              <w:t xml:space="preserve">Escalamento horizontal</w:t>
            </w:r>
          </w:p>
        </w:tc>
        <w:tc>
          <w:tcPr/>
          <w:p>
            <w:pPr>
              <w:pStyle w:val="Compact"/>
            </w:pPr>
            <w:r>
              <w:t xml:space="preserve">Adicionar instâncias sem alterar código nem parar serviço</w:t>
            </w:r>
          </w:p>
        </w:tc>
        <w:tc>
          <w:tcPr/>
          <w:p>
            <w:pPr>
              <w:pStyle w:val="Compact"/>
            </w:pPr>
            <w:r>
              <w:t xml:space="preserve">Teste em staging</w:t>
            </w:r>
          </w:p>
        </w:tc>
      </w:tr>
    </w:tbl>
    <w:bookmarkEnd w:id="51"/>
    <w:bookmarkStart w:id="53" w:name="disponibilidade-e-fiabilidade"/>
    <w:p>
      <w:pPr>
        <w:pStyle w:val="Heading2"/>
      </w:pPr>
      <w:r>
        <w:t xml:space="preserve">3. Disponibilidade e fiabilidade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RNF-07</w:t>
            </w:r>
          </w:p>
        </w:tc>
        <w:tc>
          <w:tcPr/>
          <w:p>
            <w:pPr>
              <w:pStyle w:val="Compact"/>
            </w:pPr>
            <w:r>
              <w:t xml:space="preserve">Disponibilidade mensal (SLO)</w:t>
            </w:r>
          </w:p>
        </w:tc>
        <w:tc>
          <w:tcPr/>
          <w:p>
            <w:pPr>
              <w:pStyle w:val="Compact"/>
            </w:pPr>
            <w:r>
              <w:t xml:space="preserve">{{99,9%}} (≈43 min/mês de indisponibilidade)</w:t>
            </w:r>
          </w:p>
        </w:tc>
        <w:tc>
          <w:tcPr/>
          <w:p>
            <w:pPr>
              <w:pStyle w:val="Compact"/>
            </w:pPr>
            <w:r>
              <w:t xml:space="preserve">Excluindo manutenção anunciada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RNF-08</w:t>
            </w:r>
          </w:p>
        </w:tc>
        <w:tc>
          <w:tcPr/>
          <w:p>
            <w:pPr>
              <w:pStyle w:val="Compact"/>
            </w:pPr>
            <w:r>
              <w:t xml:space="preserve">RPO — perda máxima de dados</w:t>
            </w:r>
          </w:p>
        </w:tc>
        <w:tc>
          <w:tcPr/>
          <w:p>
            <w:pPr>
              <w:pStyle w:val="Compact"/>
            </w:pPr>
            <w:r>
              <w:t xml:space="preserve">{{15 min}}</w:t>
            </w:r>
          </w:p>
        </w:tc>
        <w:tc>
          <w:tcPr/>
          <w:p>
            <w:pPr>
              <w:pStyle w:val="Compact"/>
            </w:pPr>
            <w:r>
              <w:t xml:space="preserve">Ver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Cópia de segurança e DR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RNF-09</w:t>
            </w:r>
          </w:p>
        </w:tc>
        <w:tc>
          <w:tcPr/>
          <w:p>
            <w:pPr>
              <w:pStyle w:val="Compact"/>
            </w:pPr>
            <w:r>
              <w:t xml:space="preserve">RTO — tempo máximo de reposição</w:t>
            </w:r>
          </w:p>
        </w:tc>
        <w:tc>
          <w:tcPr/>
          <w:p>
            <w:pPr>
              <w:pStyle w:val="Compact"/>
            </w:pPr>
            <w:r>
              <w:t xml:space="preserve">{{4 h}}</w:t>
            </w:r>
          </w:p>
        </w:tc>
        <w:tc>
          <w:tcPr/>
          <w:p>
            <w:pPr>
              <w:pStyle w:val="Compact"/>
            </w:pPr>
            <w:r>
              <w:t xml:space="preserve">Testado {{semestralmente}}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RNF-10</w:t>
            </w:r>
          </w:p>
        </w:tc>
        <w:tc>
          <w:tcPr/>
          <w:p>
            <w:pPr>
              <w:pStyle w:val="Compact"/>
            </w:pPr>
            <w:r>
              <w:t xml:space="preserve">Degradação graciosa</w:t>
            </w:r>
          </w:p>
        </w:tc>
        <w:tc>
          <w:tcPr/>
          <w:p>
            <w:pPr>
              <w:pStyle w:val="Compact"/>
            </w:pPr>
            <w:r>
              <w:t xml:space="preserve">Com {{serviço externo X}} em baixo, funcionalidades {{A,B}} mantêm-se</w:t>
            </w:r>
          </w:p>
        </w:tc>
        <w:tc>
          <w:tcPr/>
          <w:p>
            <w:pPr>
              <w:pStyle w:val="Compact"/>
            </w:pPr>
            <w:r>
              <w:t xml:space="preserve">Teste de caos</w:t>
            </w:r>
          </w:p>
        </w:tc>
      </w:tr>
    </w:tbl>
    <w:bookmarkEnd w:id="53"/>
    <w:bookmarkStart w:id="55" w:name="segurança"/>
    <w:p>
      <w:pPr>
        <w:pStyle w:val="Heading2"/>
      </w:pPr>
      <w:r>
        <w:t xml:space="preserve">4. Segurança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Medida / Norma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RNF-11</w:t>
            </w:r>
          </w:p>
        </w:tc>
        <w:tc>
          <w:tcPr/>
          <w:p>
            <w:pPr>
              <w:pStyle w:val="Compact"/>
            </w:pPr>
            <w:r>
              <w:t xml:space="preserve">Dados em trânsito cifrados</w:t>
            </w:r>
          </w:p>
        </w:tc>
        <w:tc>
          <w:tcPr/>
          <w:p>
            <w:pPr>
              <w:pStyle w:val="Compact"/>
            </w:pPr>
            <w:r>
              <w:t xml:space="preserve">TLS 1.3 (mínimo 1.2); HSTS 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RNF-12</w:t>
            </w:r>
          </w:p>
        </w:tc>
        <w:tc>
          <w:tcPr/>
          <w:p>
            <w:pPr>
              <w:pStyle w:val="Compact"/>
            </w:pPr>
            <w:r>
              <w:t xml:space="preserve">Dados sensíveis em repouso cifrados</w:t>
            </w:r>
          </w:p>
        </w:tc>
        <w:tc>
          <w:tcPr/>
          <w:p>
            <w:pPr>
              <w:pStyle w:val="Compact"/>
            </w:pPr>
            <w:r>
              <w:t xml:space="preserve">AES-256; chaves geridas em {{KMS}}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RNF-13</w:t>
            </w:r>
          </w:p>
        </w:tc>
        <w:tc>
          <w:tcPr/>
          <w:p>
            <w:pPr>
              <w:pStyle w:val="Compact"/>
            </w:pPr>
            <w:r>
              <w:t xml:space="preserve">Palavras-passe</w:t>
            </w:r>
          </w:p>
        </w:tc>
        <w:tc>
          <w:tcPr/>
          <w:p>
            <w:pPr>
              <w:pStyle w:val="Compact"/>
            </w:pPr>
            <w:r>
              <w:t xml:space="preserve">Argon2id; nunca em registos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RNF-14</w:t>
            </w:r>
          </w:p>
        </w:tc>
        <w:tc>
          <w:tcPr/>
          <w:p>
            <w:pPr>
              <w:pStyle w:val="Compact"/>
            </w:pPr>
            <w:r>
              <w:t xml:space="preserve">Autorização</w:t>
            </w:r>
          </w:p>
        </w:tc>
        <w:tc>
          <w:tcPr/>
          <w:p>
            <w:pPr>
              <w:pStyle w:val="Compact"/>
            </w:pPr>
            <w:r>
              <w:t xml:space="preserve">RBAC; negação por omissão; verificada no servidor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RNF-15</w:t>
            </w:r>
          </w:p>
        </w:tc>
        <w:tc>
          <w:tcPr/>
          <w:p>
            <w:pPr>
              <w:pStyle w:val="Compact"/>
            </w:pPr>
            <w:r>
              <w:t xml:space="preserve">Registo de auditoria</w:t>
            </w:r>
          </w:p>
        </w:tc>
        <w:tc>
          <w:tcPr/>
          <w:p>
            <w:pPr>
              <w:pStyle w:val="Compact"/>
            </w:pPr>
            <w:r>
              <w:t xml:space="preserve">Ações sensíveis registadas, imutáveis, retidas {{n}} 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RNF-16</w:t>
            </w:r>
          </w:p>
        </w:tc>
        <w:tc>
          <w:tcPr/>
          <w:p>
            <w:pPr>
              <w:pStyle w:val="Compact"/>
            </w:pPr>
            <w:r>
              <w:t xml:space="preserve">Gestão de vulnerabilidades</w:t>
            </w:r>
          </w:p>
        </w:tc>
        <w:tc>
          <w:tcPr/>
          <w:p>
            <w:pPr>
              <w:pStyle w:val="Compact"/>
            </w:pPr>
            <w:r>
              <w:t xml:space="preserve">Críticas corrigidas em ≤ {{7}} dias; SCA no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RNF-17</w:t>
            </w:r>
          </w:p>
        </w:tc>
        <w:tc>
          <w:tcPr/>
          <w:p>
            <w:pPr>
              <w:pStyle w:val="Compact"/>
            </w:pPr>
            <w:r>
              <w:t xml:space="preserve">Sessões</w:t>
            </w:r>
          </w:p>
        </w:tc>
        <w:tc>
          <w:tcPr/>
          <w:p>
            <w:pPr>
              <w:pStyle w:val="Compact"/>
            </w:pPr>
            <w:r>
              <w:t xml:space="preserve">Expiram em {{8 h}}; invalidação global no logout</w:t>
            </w:r>
          </w:p>
        </w:tc>
      </w:tr>
    </w:tbl>
    <w:p>
      <w:pPr>
        <w:pStyle w:val="BlockText"/>
      </w:pPr>
      <w:r>
        <w:t xml:space="preserve">Detalhe em</w:t>
      </w:r>
      <w:r>
        <w:t xml:space="preserve"> </w:t>
      </w:r>
      <w:hyperlink r:id="rId54">
        <w:r>
          <w:rPr>
            <w:rStyle w:val="Hyperlink"/>
          </w:rPr>
          <w:t xml:space="preserve">SECURITY</w:t>
        </w:r>
      </w:hyperlink>
    </w:p>
    <w:bookmarkEnd w:id="55"/>
    <w:bookmarkStart w:id="57" w:name="privacidade-e-conformidade"/>
    <w:p>
      <w:pPr>
        <w:pStyle w:val="Heading2"/>
      </w:pPr>
      <w:r>
        <w:t xml:space="preserve">5. Privacidade e conformidade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RNF-18</w:t>
            </w:r>
          </w:p>
        </w:tc>
        <w:tc>
          <w:tcPr/>
          <w:p>
            <w:pPr>
              <w:pStyle w:val="Compact"/>
            </w:pPr>
            <w:r>
              <w:t xml:space="preserve">Minimização: recolher apenas dados com finalidade documentada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RNF-19</w:t>
            </w:r>
          </w:p>
        </w:tc>
        <w:tc>
          <w:tcPr/>
          <w:p>
            <w:pPr>
              <w:pStyle w:val="Compact"/>
            </w:pPr>
            <w:r>
              <w:t xml:space="preserve">Direitos do titular (acesso, retificação, apagamento, portabilidade) atendidos em ≤ 30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RNF-20</w:t>
            </w:r>
          </w:p>
        </w:tc>
        <w:tc>
          <w:tcPr/>
          <w:p>
            <w:pPr>
              <w:pStyle w:val="Compact"/>
            </w:pPr>
            <w:r>
              <w:t xml:space="preserve">Retenção: {{tipo de dado}} eliminado após {{prazo}} automaticamente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RNF-21</w:t>
            </w:r>
          </w:p>
        </w:tc>
        <w:tc>
          <w:tcPr/>
          <w:p>
            <w:pPr>
              <w:pStyle w:val="Compact"/>
            </w:pPr>
            <w:r>
              <w:t xml:space="preserve">Dados alojados em {{UE}}</w:t>
            </w:r>
          </w:p>
        </w:tc>
      </w:tr>
    </w:tbl>
    <w:p>
      <w:pPr>
        <w:pStyle w:val="BlockText"/>
      </w:pPr>
      <w:r>
        <w:t xml:space="preserve">Detalhe em</w:t>
      </w:r>
      <w:r>
        <w:t xml:space="preserve"> </w:t>
      </w:r>
      <w:hyperlink r:id="rId56">
        <w:r>
          <w:rPr>
            <w:rStyle w:val="Hyperlink"/>
          </w:rPr>
          <w:t xml:space="preserve">Privacidade / RGPD</w:t>
        </w:r>
      </w:hyperlink>
    </w:p>
    <w:bookmarkEnd w:id="57"/>
    <w:bookmarkStart w:id="58" w:name="usabilidade-e-acessibilidade"/>
    <w:p>
      <w:pPr>
        <w:pStyle w:val="Heading2"/>
      </w:pPr>
      <w:r>
        <w:t xml:space="preserve">6. Usabilidade e acessibilidade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Medida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RNF-22</w:t>
            </w:r>
          </w:p>
        </w:tc>
        <w:tc>
          <w:tcPr/>
          <w:p>
            <w:pPr>
              <w:pStyle w:val="Compact"/>
            </w:pPr>
            <w:r>
              <w:t xml:space="preserve">Conformidade WCAG</w:t>
            </w:r>
          </w:p>
        </w:tc>
        <w:tc>
          <w:tcPr/>
          <w:p>
            <w:pPr>
              <w:pStyle w:val="Compact"/>
            </w:pPr>
            <w:r>
              <w:t xml:space="preserve">2.2 nível 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RNF-23</w:t>
            </w:r>
          </w:p>
        </w:tc>
        <w:tc>
          <w:tcPr/>
          <w:p>
            <w:pPr>
              <w:pStyle w:val="Compact"/>
            </w:pPr>
            <w:r>
              <w:t xml:space="preserve">Navegação completa por teclado</w:t>
            </w:r>
          </w:p>
        </w:tc>
        <w:tc>
          <w:tcPr/>
          <w:p>
            <w:pPr>
              <w:pStyle w:val="Compact"/>
            </w:pPr>
            <w:r>
              <w:t xml:space="preserve">Todas as funcionalidades; foco sempre visível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RNF-24</w:t>
            </w:r>
          </w:p>
        </w:tc>
        <w:tc>
          <w:tcPr/>
          <w:p>
            <w:pPr>
              <w:pStyle w:val="Compact"/>
            </w:pPr>
            <w:r>
              <w:t xml:space="preserve">Contraste</w:t>
            </w:r>
          </w:p>
        </w:tc>
        <w:tc>
          <w:tcPr/>
          <w:p>
            <w:pPr>
              <w:pStyle w:val="Compact"/>
            </w:pPr>
            <w:r>
              <w:t xml:space="preserve">≥ 4,5:1 texto normal · ≥ 3:1 texto grande e componentes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RNF-25</w:t>
            </w:r>
          </w:p>
        </w:tc>
        <w:tc>
          <w:tcPr/>
          <w:p>
            <w:pPr>
              <w:pStyle w:val="Compact"/>
            </w:pPr>
            <w:r>
              <w:t xml:space="preserve">Curva de aprendizagem</w:t>
            </w:r>
          </w:p>
        </w:tc>
        <w:tc>
          <w:tcPr/>
          <w:p>
            <w:pPr>
              <w:pStyle w:val="Compact"/>
            </w:pPr>
            <w:r>
              <w:t xml:space="preserve">Utilizador novo conclui {{tarefa X}} em ≤ {{5 min}} sem ajuda (teste com 5 utilizadores)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RNF-26</w:t>
            </w:r>
          </w:p>
        </w:tc>
        <w:tc>
          <w:tcPr/>
          <w:p>
            <w:pPr>
              <w:pStyle w:val="Compact"/>
            </w:pPr>
            <w:r>
              <w:t xml:space="preserve">Mensagens de erro</w:t>
            </w:r>
          </w:p>
        </w:tc>
        <w:tc>
          <w:tcPr/>
          <w:p>
            <w:pPr>
              <w:pStyle w:val="Compact"/>
            </w:pPr>
            <w:r>
              <w:t xml:space="preserve">Explicam a causa e a ação seguinte; sem códigos técnicos ao utilizador</w:t>
            </w:r>
          </w:p>
        </w:tc>
      </w:tr>
    </w:tbl>
    <w:bookmarkEnd w:id="58"/>
    <w:bookmarkStart w:id="59" w:name="compatibilidade"/>
    <w:p>
      <w:pPr>
        <w:pStyle w:val="Heading2"/>
      </w:pPr>
      <w:r>
        <w:t xml:space="preserve">7. Compatibilidade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RNF-27</w:t>
            </w:r>
          </w:p>
        </w:tc>
        <w:tc>
          <w:tcPr/>
          <w:p>
            <w:pPr>
              <w:pStyle w:val="Compact"/>
            </w:pPr>
            <w:r>
              <w:t xml:space="preserve">Browsers: últimas 2 versões de Chrome, Firefox, Safari,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RNF-28</w:t>
            </w:r>
          </w:p>
        </w:tc>
        <w:tc>
          <w:tcPr/>
          <w:p>
            <w:pPr>
              <w:pStyle w:val="Compact"/>
            </w:pPr>
            <w:r>
              <w:t xml:space="preserve">Responsivo entre {{320 px}} e {{2560 px}}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RNF-29</w:t>
            </w:r>
          </w:p>
        </w:tc>
        <w:tc>
          <w:tcPr/>
          <w:p>
            <w:pPr>
              <w:pStyle w:val="Compact"/>
            </w:pPr>
            <w:r>
              <w:t xml:space="preserve">Sistemas móveis: iOS {{16+}}, Android {{11+}}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RNF-30</w:t>
            </w:r>
          </w:p>
        </w:tc>
        <w:tc>
          <w:tcPr/>
          <w:p>
            <w:pPr>
              <w:pStyle w:val="Compact"/>
            </w:pPr>
            <w:r>
              <w:t xml:space="preserve">Compatibilidade retroativa da API mantida durante {{12 meses}} após deprecação</w:t>
            </w:r>
          </w:p>
        </w:tc>
      </w:tr>
    </w:tbl>
    <w:bookmarkEnd w:id="59"/>
    <w:bookmarkStart w:id="60" w:name="manutenibilidade-e-evolução"/>
    <w:p>
      <w:pPr>
        <w:pStyle w:val="Heading2"/>
      </w:pPr>
      <w:r>
        <w:t xml:space="preserve">8. Manutenibilidade e evolução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Medida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RNF-31</w:t>
            </w:r>
          </w:p>
        </w:tc>
        <w:tc>
          <w:tcPr/>
          <w:p>
            <w:pPr>
              <w:pStyle w:val="Compact"/>
            </w:pPr>
            <w:r>
              <w:t xml:space="preserve">Cobertura de testes</w:t>
            </w:r>
          </w:p>
        </w:tc>
        <w:tc>
          <w:tcPr/>
          <w:p>
            <w:pPr>
              <w:pStyle w:val="Compact"/>
            </w:pPr>
            <w:r>
              <w:t xml:space="preserve">≥ {{80%}} nas camadas de 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RNF-32</w:t>
            </w:r>
          </w:p>
        </w:tc>
        <w:tc>
          <w:tcPr/>
          <w:p>
            <w:pPr>
              <w:pStyle w:val="Compact"/>
            </w:pPr>
            <w:r>
              <w:t xml:space="preserve">Tempo de build + testes no CI</w:t>
            </w:r>
          </w:p>
        </w:tc>
        <w:tc>
          <w:tcPr/>
          <w:p>
            <w:pPr>
              <w:pStyle w:val="Compact"/>
            </w:pPr>
            <w:r>
              <w:t xml:space="preserve">≤ {{10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RNF-33</w:t>
            </w:r>
          </w:p>
        </w:tc>
        <w:tc>
          <w:tcPr/>
          <w:p>
            <w:pPr>
              <w:pStyle w:val="Compact"/>
            </w:pPr>
            <w:r>
              <w:t xml:space="preserve">Ambiente de desenvolvimento operacional</w:t>
            </w:r>
          </w:p>
        </w:tc>
        <w:tc>
          <w:tcPr/>
          <w:p>
            <w:pPr>
              <w:pStyle w:val="Compact"/>
            </w:pPr>
            <w:r>
              <w:t xml:space="preserve">≤ {{30 min}} a partir do repositório limpo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RNF-34</w:t>
            </w:r>
          </w:p>
        </w:tc>
        <w:tc>
          <w:tcPr/>
          <w:p>
            <w:pPr>
              <w:pStyle w:val="Compact"/>
            </w:pPr>
            <w:r>
              <w:t xml:space="preserve">Dívida técnica</w:t>
            </w:r>
          </w:p>
        </w:tc>
        <w:tc>
          <w:tcPr/>
          <w:p>
            <w:pPr>
              <w:pStyle w:val="Compact"/>
            </w:pPr>
            <w:r>
              <w:t xml:space="preserve">{{Nenhum ficheiro &gt; 500 linhas; complexidade ciclomática ≤ 15}}</w:t>
            </w:r>
          </w:p>
        </w:tc>
      </w:tr>
    </w:tbl>
    <w:bookmarkEnd w:id="60"/>
    <w:bookmarkStart w:id="62" w:name="observabilidade"/>
    <w:p>
      <w:pPr>
        <w:pStyle w:val="Heading2"/>
      </w:pPr>
      <w:r>
        <w:t xml:space="preserve">9. Observabilidade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RNF-35</w:t>
            </w:r>
          </w:p>
        </w:tc>
        <w:tc>
          <w:tcPr/>
          <w:p>
            <w:pPr>
              <w:pStyle w:val="Compact"/>
            </w:pPr>
            <w:r>
              <w:t xml:space="preserve">Logs estruturados (JSON) com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 </w:t>
            </w:r>
            <w:r>
              <w:t xml:space="preserve">correlacionável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RNF-36</w:t>
            </w:r>
          </w:p>
        </w:tc>
        <w:tc>
          <w:tcPr/>
          <w:p>
            <w:pPr>
              <w:pStyle w:val="Compact"/>
            </w:pPr>
            <w:r>
              <w:t xml:space="preserve">Métricas RED (Rate, Errors, Duration) por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RNF-37</w:t>
            </w:r>
          </w:p>
        </w:tc>
        <w:tc>
          <w:tcPr/>
          <w:p>
            <w:pPr>
              <w:pStyle w:val="Compact"/>
            </w:pPr>
            <w:r>
              <w:t xml:space="preserve">Tracing distribuído em {{100%}} dos pedidos de escrita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RNF-38</w:t>
            </w:r>
          </w:p>
        </w:tc>
        <w:tc>
          <w:tcPr/>
          <w:p>
            <w:pPr>
              <w:pStyle w:val="Compact"/>
            </w:pPr>
            <w:r>
              <w:t xml:space="preserve">Alertas baseados em sintoma (SLO ritmo de consumo), não em causa</w:t>
            </w:r>
          </w:p>
        </w:tc>
      </w:tr>
    </w:tbl>
    <w:p>
      <w:pPr>
        <w:pStyle w:val="BlockText"/>
      </w:pPr>
      <w:r>
        <w:t xml:space="preserve">Detalhe em</w:t>
      </w:r>
      <w:r>
        <w:t xml:space="preserve"> </w:t>
      </w:r>
      <w:hyperlink r:id="rId61">
        <w:r>
          <w:rPr>
            <w:rStyle w:val="Hyperlink"/>
          </w:rPr>
          <w:t xml:space="preserve">Monitorização</w:t>
        </w:r>
      </w:hyperlink>
    </w:p>
    <w:bookmarkEnd w:id="62"/>
    <w:bookmarkStart w:id="63" w:name="internacionalização"/>
    <w:p>
      <w:pPr>
        <w:pStyle w:val="Heading2"/>
      </w:pPr>
      <w:r>
        <w:t xml:space="preserve">10. Internacionalização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RNF-39</w:t>
            </w:r>
          </w:p>
        </w:tc>
        <w:tc>
          <w:tcPr/>
          <w:p>
            <w:pPr>
              <w:pStyle w:val="Compact"/>
            </w:pPr>
            <w:r>
              <w:t xml:space="preserve">Idiomas suportados: {{pt-PT, en-GB}}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RNF-40</w:t>
            </w:r>
          </w:p>
        </w:tc>
        <w:tc>
          <w:tcPr/>
          <w:p>
            <w:pPr>
              <w:pStyle w:val="Compact"/>
            </w:pPr>
            <w:r>
              <w:t xml:space="preserve">Datas, números e moeda formatados segundo a locale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RNF-41</w:t>
            </w:r>
          </w:p>
        </w:tc>
        <w:tc>
          <w:tcPr/>
          <w:p>
            <w:pPr>
              <w:pStyle w:val="Compact"/>
            </w:pPr>
            <w:r>
              <w:t xml:space="preserve">Todos os textos externalizados; sem strings no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RNF-42</w:t>
            </w:r>
          </w:p>
        </w:tc>
        <w:tc>
          <w:tcPr/>
          <w:p>
            <w:pPr>
              <w:pStyle w:val="Compact"/>
            </w:pPr>
            <w:r>
              <w:t xml:space="preserve">Timestamps armazenados em UTC</w:t>
            </w:r>
          </w:p>
        </w:tc>
      </w:tr>
    </w:tbl>
    <w:bookmarkEnd w:id="63"/>
    <w:bookmarkStart w:id="64" w:name="portabilidade-e-operação"/>
    <w:p>
      <w:pPr>
        <w:pStyle w:val="Heading2"/>
      </w:pPr>
      <w:r>
        <w:t xml:space="preserve">11. Portabilidade e operação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RNF-43</w:t>
            </w:r>
          </w:p>
        </w:tc>
        <w:tc>
          <w:tcPr/>
          <w:p>
            <w:pPr>
              <w:pStyle w:val="Compact"/>
            </w:pPr>
            <w:r>
              <w:t xml:space="preserve">Aplicação containerizada; sem estado em disco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RNF-44</w:t>
            </w:r>
          </w:p>
        </w:tc>
        <w:tc>
          <w:tcPr/>
          <w:p>
            <w:pPr>
              <w:pStyle w:val="Compact"/>
            </w:pPr>
            <w:r>
              <w:t xml:space="preserve">Configuração exclusivamente por variáveis de ambiente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RNF-45</w:t>
            </w:r>
          </w:p>
        </w:tc>
        <w:tc>
          <w:tcPr/>
          <w:p>
            <w:pPr>
              <w:pStyle w:val="Compact"/>
            </w:pPr>
            <w:r>
              <w:t xml:space="preserve">Deploy sem indisponibilidade (rolling / blue-green)</w:t>
            </w:r>
          </w:p>
        </w:tc>
      </w:tr>
    </w:tbl>
    <w:bookmarkEnd w:id="64"/>
    <w:bookmarkStart w:id="65" w:name="custo"/>
    <w:p>
      <w:pPr>
        <w:pStyle w:val="Heading2"/>
      </w:pPr>
      <w:r>
        <w:t xml:space="preserve">12. Custo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RNF-46</w:t>
            </w:r>
          </w:p>
        </w:tc>
        <w:tc>
          <w:tcPr/>
          <w:p>
            <w:pPr>
              <w:pStyle w:val="Compact"/>
            </w:pPr>
            <w:r>
              <w:t xml:space="preserve">Custo de infraestrutura ≤ {{X €}}/mês a {{N}} utilizadores ativos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7" w:name="trade-offs-assumidos"/>
    <w:p>
      <w:pPr>
        <w:pStyle w:val="Heading2"/>
      </w:pPr>
      <w:r>
        <w:t xml:space="preserve">Trade-offs assumidos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Atributos em tensão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ADR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Consistência vs Disponibilidade</w:t>
            </w:r>
          </w:p>
        </w:tc>
        <w:tc>
          <w:tcPr/>
          <w:p>
            <w:pPr>
              <w:pStyle w:val="Compact"/>
            </w:pPr>
            <w:r>
              <w:t xml:space="preserve">{{Consistência eventual em leituras de relatório}}</w:t>
            </w:r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ADR-003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Segurança vs Usabilidade</w:t>
            </w:r>
          </w:p>
        </w:tc>
        <w:tc>
          <w:tcPr/>
          <w:p>
            <w:pPr>
              <w:pStyle w:val="Compact"/>
            </w:pPr>
            <w:r>
              <w:t xml:space="preserve">{{MFA obrigatório apenas para papéis administrativos}}</w:t>
            </w:r>
          </w:p>
        </w:tc>
        <w:tc>
          <w:tcPr/>
          <w:p>
            <w:pPr>
              <w:pStyle w:val="Compact"/>
            </w:pPr>
            <w:r>
              <w:t xml:space="preserve">{{ADR-005}}</w:t>
            </w:r>
          </w:p>
        </w:tc>
      </w:tr>
    </w:tbl>
    <w:bookmarkEnd w:id="67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66" Target="../03-arquitetura/02-modelo-decisao-arquitetura.md" TargetMode="External" /><Relationship Type="http://schemas.openxmlformats.org/officeDocument/2006/relationships/hyperlink" Id="rId61" Target="../06-operacao/04-monitorizacao.md" TargetMode="External" /><Relationship Type="http://schemas.openxmlformats.org/officeDocument/2006/relationships/hyperlink" Id="rId52" Target="../06-operacao/05-copias-de-seguranca-e-recuperacao.md" TargetMode="External" /><Relationship Type="http://schemas.openxmlformats.org/officeDocument/2006/relationships/hyperlink" Id="rId54" Target="../07-governanca/01-seguranca.md" TargetMode="External" /><Relationship Type="http://schemas.openxmlformats.org/officeDocument/2006/relationships/hyperlink" Id="rId56" Target="../07-governanca/02-privacidade-rgp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../03-arquitetura/02-modelo-decisao-arquitetura.md" TargetMode="External" /><Relationship Type="http://schemas.openxmlformats.org/officeDocument/2006/relationships/hyperlink" Id="rId61" Target="../06-operacao/04-monitorizacao.md" TargetMode="External" /><Relationship Type="http://schemas.openxmlformats.org/officeDocument/2006/relationships/hyperlink" Id="rId52" Target="../06-operacao/05-copias-de-seguranca-e-recuperacao.md" TargetMode="External" /><Relationship Type="http://schemas.openxmlformats.org/officeDocument/2006/relationships/hyperlink" Id="rId54" Target="../07-governanca/01-seguranca.md" TargetMode="External" /><Relationship Type="http://schemas.openxmlformats.org/officeDocument/2006/relationships/hyperlink" Id="rId56" Target="../07-governanca/02-privacidade-rgp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Não Funcionais (Atributos de Qualidade)</dc:title>
  <dc:creator/>
  <dc:language>pt-PT</dc:language>
  <cp:keywords/>
  <dcterms:created xsi:type="dcterms:W3CDTF">2026-08-24T14:48:48Z</dcterms:created>
  <dcterms:modified xsi:type="dcterms:W3CDTF">2026-08-24T14:48:48Z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