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Rastreabilidade de Requisitos (RTM)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pPr>
        <w:pStyle w:val="BlockText"/>
      </w:pPr>
      <w:r>
        <w:t xml:space="preserve">Serve para responder a três perguntas:</w:t>
      </w:r>
      <w:r>
        <w:t xml:space="preserve"> </w:t>
      </w:r>
      <w:r>
        <w:rPr>
          <w:i/>
          <w:iCs/>
        </w:rPr>
        <w:t xml:space="preserve">(1)</w:t>
      </w:r>
      <w:r>
        <w:t xml:space="preserve"> </w:t>
      </w:r>
      <w:r>
        <w:t xml:space="preserve">este requisito veio de onde?</w:t>
      </w:r>
      <w:r>
        <w:t xml:space="preserve"> </w:t>
      </w:r>
      <w:r>
        <w:rPr>
          <w:i/>
          <w:iCs/>
        </w:rPr>
        <w:t xml:space="preserve">(2)</w:t>
      </w:r>
      <w:r>
        <w:t xml:space="preserve"> </w:t>
      </w:r>
      <w:r>
        <w:t xml:space="preserve">está implementado e testado?</w:t>
      </w:r>
      <w:r>
        <w:t xml:space="preserve"> </w:t>
      </w:r>
      <w:r>
        <w:rPr>
          <w:i/>
          <w:iCs/>
        </w:rPr>
        <w:t xml:space="preserve">(3)</w:t>
      </w:r>
      <w:r>
        <w:t xml:space="preserve"> </w:t>
      </w:r>
      <w:r>
        <w:t xml:space="preserve">se eu mudar isto, o que parte?</w:t>
      </w:r>
    </w:p>
    <w:p>
      <w:r>
        <w:pict>
          <v:rect style="width:0;height:1.5pt" o:hralign="center" o:hrstd="t" o:hr="t"/>
        </w:pict>
      </w:r>
    </w:p>
    <w:bookmarkStart w:id="49" w:name="matriz-principal-origem-verificação"/>
    <w:p>
      <w:pPr>
        <w:pStyle w:val="Heading2"/>
      </w:pPr>
      <w:r>
        <w:t xml:space="preserve">1. Matriz principal (origem → verificação)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Descrição resumida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História de Utilizador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Casos de Teste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Verificado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{{Autenticação}}</w:t>
            </w:r>
          </w:p>
        </w:tc>
        <w:tc>
          <w:tcPr/>
          <w:p>
            <w:pPr>
              <w:pStyle w:val="Compact"/>
            </w:pPr>
            <w:r>
              <w:t xml:space="preserve">{{Entrevista {{Nome}} {{data}}}}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TC-001, TC-002, TC-003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  <w:tc>
          <w:tcPr/>
          <w:p>
            <w:pPr>
              <w:pStyle w:val="Compact"/>
            </w:pPr>
            <w:r>
              <w:t xml:space="preserve">{{v1.0}}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{{Recuperar palavra-passe}}</w:t>
            </w:r>
          </w:p>
        </w:tc>
        <w:tc>
          <w:tcPr/>
          <w:p>
            <w:pPr>
              <w:pStyle w:val="Compact"/>
            </w:pPr>
            <w:r>
              <w:t xml:space="preserve">{{Regulamento interno}}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Em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{{p95 ≤ 300 ms}}</w:t>
            </w:r>
          </w:p>
        </w:tc>
        <w:tc>
          <w:tcPr/>
          <w:p>
            <w:pPr>
              <w:pStyle w:val="Compact"/>
            </w:pPr>
            <w:r>
              <w:t xml:space="preserve">{{SLA cliente X}}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TC-P01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 de estado:</w:t>
      </w:r>
      <w:r>
        <w:t xml:space="preserve"> </w:t>
      </w:r>
      <w:r>
        <w:t xml:space="preserve">Proposto · Aprovado · Em dev · Implementado · Verificado · Removido</w:t>
      </w:r>
    </w:p>
    <w:p>
      <w:r>
        <w:pict>
          <v:rect style="width:0;height:1.5pt" o:hralign="center" o:hrstd="t" o:hr="t"/>
        </w:pict>
      </w:r>
    </w:p>
    <w:bookmarkEnd w:id="49"/>
    <w:bookmarkStart w:id="51" w:name="cobertura-indicadores"/>
    <w:p>
      <w:pPr>
        <w:pStyle w:val="Heading2"/>
      </w:pPr>
      <w:r>
        <w:t xml:space="preserve">2. Cobertura —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com pelo menos um caso de teste</w:t>
            </w:r>
          </w:p>
        </w:tc>
        <w:tc>
          <w:tcPr/>
          <w:p>
            <w:pPr>
              <w:pStyle w:val="Compact"/>
            </w:pPr>
            <w:r>
              <w:t xml:space="preserve">{{18/20 = 90%}}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sem história de utilizador associada (órfãos)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sem requisito associado (testes órfãos)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Must verificados</w:t>
            </w:r>
          </w:p>
        </w:tc>
        <w:tc>
          <w:tcPr/>
          <w:p>
            <w:pPr>
              <w:pStyle w:val="Compact"/>
            </w:pPr>
            <w:r>
              <w:t xml:space="preserve">{{12/14}}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50" w:name="requisitos-sem-cobertura-de-teste"/>
    <w:p>
      <w:pPr>
        <w:pStyle w:val="Heading3"/>
      </w:pPr>
      <w:r>
        <w:t xml:space="preserve">Requisitos sem cobertura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{{RNF-09}}</w:t>
            </w:r>
          </w:p>
        </w:tc>
        <w:tc>
          <w:tcPr/>
          <w:p>
            <w:pPr>
              <w:pStyle w:val="Compact"/>
            </w:pPr>
            <w:r>
              <w:t xml:space="preserve">{{Só testável em DR drill}}</w:t>
            </w:r>
          </w:p>
        </w:tc>
        <w:tc>
          <w:tcPr/>
          <w:p>
            <w:pPr>
              <w:pStyle w:val="Compact"/>
            </w:pPr>
            <w:r>
              <w:t xml:space="preserve">{{Agendar exercício {{data}}}}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Xd963c6c5b0478a3674961b8443df0c78026c6c0"/>
    <w:p>
      <w:pPr>
        <w:pStyle w:val="Heading2"/>
      </w:pPr>
      <w:r>
        <w:t xml:space="preserve">3. Matriz inversa (o que é que este teste cobre?)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teste</w:t>
            </w:r>
          </w:p>
        </w:tc>
        <w:tc>
          <w:tcPr/>
          <w:p>
            <w:pPr>
              <w:pStyle w:val="Compact"/>
            </w:pPr>
            <w:r>
              <w:t xml:space="preserve">Requisitos cobertos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TC-P01</w:t>
            </w:r>
          </w:p>
        </w:tc>
        <w:tc>
          <w:tcPr/>
          <w:p>
            <w:pPr>
              <w:pStyle w:val="Compact"/>
            </w:pPr>
            <w:r>
              <w:t xml:space="preserve">RNF-01, RNF-04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análise-de-impacto-para-alterações"/>
    <w:p>
      <w:pPr>
        <w:pStyle w:val="Heading2"/>
      </w:pPr>
      <w:r>
        <w:t xml:space="preserve">4. Análise de impacto (para alterações)</w:t>
      </w:r>
    </w:p>
    <w:p>
      <w:pPr>
        <w:pStyle w:val="BlockText"/>
      </w:pPr>
      <w:r>
        <w:t xml:space="preserve">Preencher sempre que se propõe alterar ou remover um requisito.</w:t>
      </w:r>
    </w:p>
    <w:bookmarkStart w:id="53" w:name="alteração-proposta-descrição"/>
    <w:p>
      <w:pPr>
        <w:pStyle w:val="Heading3"/>
      </w:pPr>
      <w:r>
        <w:t xml:space="preserve">Alteração proposta: {{descrição}}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Requisito afetado</w:t>
            </w:r>
          </w:p>
        </w:tc>
        <w:tc>
          <w:tcPr/>
          <w:p>
            <w:pPr>
              <w:pStyle w:val="Compact"/>
            </w:pPr>
            <w:r>
              <w:t xml:space="preserve">{{RF-07}}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Impacto a jusante</w:t>
      </w:r>
      <w:r>
        <w:t xml:space="preserve"> </w:t>
      </w:r>
      <w:r>
        <w:t xml:space="preserve">| Artefacto | Referência | Alteração necessária | Esforço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User story | US-05 | Reescrever critérios 2 e 3 | S |</w:t>
      </w:r>
      <w:r>
        <w:t xml:space="preserve"> </w:t>
      </w:r>
      <w:r>
        <w:t xml:space="preserve">| Caso de uso | UC-03 | Novo fluxo alternativo | S |</w:t>
      </w:r>
      <w:r>
        <w:t xml:space="preserve"> </w:t>
      </w:r>
      <w:r>
        <w:t xml:space="preserve">| Componente |</w:t>
      </w:r>
      <w:r>
        <w:t xml:space="preserve"> </w:t>
      </w:r>
      <w:r>
        <w:rPr>
          <w:rStyle w:val="VerbatimChar"/>
        </w:rPr>
        <w:t xml:space="preserve">orders-api</w:t>
      </w:r>
      <w:r>
        <w:t xml:space="preserve"> </w:t>
      </w:r>
      <w:r>
        <w:t xml:space="preserve">| Novo campo + migração | M |</w:t>
      </w:r>
      <w:r>
        <w:t xml:space="preserve"> </w:t>
      </w:r>
      <w:r>
        <w:t xml:space="preserve">| Testes | TC-012…TC-015 | Atualizar | S |</w:t>
      </w:r>
      <w:r>
        <w:t xml:space="preserve"> </w:t>
      </w:r>
      <w:r>
        <w:t xml:space="preserve">| Documentação | Manual §4.2 | Atualizar capturas | S |</w:t>
      </w:r>
    </w:p>
    <w:p>
      <w:pPr>
        <w:pStyle w:val="BodyText"/>
      </w:pPr>
      <w:r>
        <w:rPr>
          <w:b/>
          <w:bCs/>
        </w:rPr>
        <w:t xml:space="preserve">Requisitos dependentes que podem quebrar:</w:t>
      </w:r>
      <w:r>
        <w:t xml:space="preserve"> </w:t>
      </w:r>
      <w:r>
        <w:t xml:space="preserve">{{RF-09 (assume o formato antigo)}}</w:t>
      </w:r>
      <w:r>
        <w:t xml:space="preserve"> </w:t>
      </w:r>
      <w:r>
        <w:rPr>
          <w:b/>
          <w:bCs/>
        </w:rPr>
        <w:t xml:space="preserve">Decisão:</w:t>
      </w:r>
      <w:r>
        <w:t xml:space="preserve"> </w:t>
      </w:r>
      <w:r>
        <w:t xml:space="preserve">{{Aprovado / Rejeitado}} — {{quem}} — {{data}}</w:t>
      </w:r>
    </w:p>
    <w:bookmarkEnd w:id="53"/>
    <w:bookmarkEnd w:id="5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Rastreabilidade de Requisitos (RTM)</dc:title>
  <dc:creator/>
  <dc:language>pt-PT</dc:language>
  <cp:keywords/>
  <dcterms:created xsi:type="dcterms:W3CDTF">2026-08-24T14:48:49Z</dcterms:created>
  <dcterms:modified xsi:type="dcterms:W3CDTF">2026-08-24T14:48:49Z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