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50.png" ContentType="image/png"/>
  <Override PartName="/word/media/rId6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Mapa de Jornada do Utilizador — {{PERSONA}} / {{CENÁRIO}}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Persona</w:t>
            </w:r>
          </w:p>
        </w:tc>
        <w:tc>
          <w:tcPr/>
          <w:p>
            <w:pPr>
              <w:pStyle w:val="Compact"/>
            </w:pPr>
            <w:hyperlink r:id="rId49">
              <w:r>
                <w:rPr>
                  <w:rStyle w:val="Hyperlink"/>
                </w:rPr>
                <w:t xml:space="preserve">{{Nome}}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Cenário</w:t>
            </w:r>
          </w:p>
        </w:tc>
        <w:tc>
          <w:tcPr/>
          <w:p>
            <w:pPr>
              <w:pStyle w:val="Compact"/>
            </w:pPr>
            <w:r>
              <w:t xml:space="preserve">{{Encomendar material urgente para obra}}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Objetivo da persona</w:t>
            </w:r>
          </w:p>
        </w:tc>
        <w:tc>
          <w:tcPr/>
          <w:p>
            <w:pPr>
              <w:pStyle w:val="Compact"/>
            </w:pPr>
            <w:r>
              <w:t xml:space="preserve">{{Receber o material amanhã}}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Âmbito</w:t>
            </w:r>
          </w:p>
        </w:tc>
        <w:tc>
          <w:tcPr/>
          <w:p>
            <w:pPr>
              <w:pStyle w:val="Compact"/>
            </w:pPr>
            <w:r>
              <w:t xml:space="preserve">Do {{momento em que deteta a falta}} até {{à receção}}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Estado</w:t>
            </w:r>
          </w:p>
        </w:tc>
        <w:tc>
          <w:tcPr/>
          <w:p>
            <w:pPr>
              <w:pStyle w:val="Compact"/>
            </w:pPr>
            <w:r>
              <w:t xml:space="preserve">AS-IS / TO-BE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de evidência</w:t>
            </w:r>
          </w:p>
        </w:tc>
        <w:tc>
          <w:tcPr/>
          <w:p>
            <w:pPr>
              <w:pStyle w:val="Compact"/>
            </w:pPr>
            <w:r>
              <w:t xml:space="preserve">{{8 entrevistas + analytics}}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53" w:name="mapa-resumido"/>
    <w:p>
      <w:pPr>
        <w:pStyle w:val="Heading2"/>
      </w:pPr>
      <w:r>
        <w:t xml:space="preserve">1. Mapa resumido</w:t>
      </w:r>
    </w:p>
    <w:p>
      <w:pPr>
        <w:pStyle w:val="FirstParagraph"/>
      </w:pPr>
      <w:r>
        <w:drawing>
          <wp:inline>
            <wp:extent cx="6191999" cy="1553221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out-1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999" cy="15532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(escala 1 = muito frustrante … 5 = excelente)</w:t>
      </w:r>
    </w:p>
    <w:p>
      <w:r>
        <w:pict>
          <v:rect style="width:0;height:1.5pt" o:hralign="center" o:hrstd="t" o:hr="t"/>
        </w:pict>
      </w:r>
    </w:p>
    <w:bookmarkEnd w:id="53"/>
    <w:bookmarkStart w:id="58" w:name="mapa-detalhado-por-fase"/>
    <w:p>
      <w:pPr>
        <w:pStyle w:val="Heading2"/>
      </w:pPr>
      <w:r>
        <w:t xml:space="preserve">2. Mapa detalhado por fase</w:t>
      </w:r>
    </w:p>
    <w:bookmarkStart w:id="54" w:name="fase-1-descoberta-da-necessidade"/>
    <w:p>
      <w:pPr>
        <w:pStyle w:val="Heading3"/>
      </w:pPr>
      <w:r>
        <w:t xml:space="preserve">Fase 1 — {{Descoberta da necessidade}}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Dimensão</w:t>
            </w:r>
          </w:p>
        </w:tc>
        <w:tc>
          <w:tcPr/>
          <w:p>
            <w:pPr>
              <w:pStyle w:val="Compact"/>
            </w:pPr>
            <w:r>
              <w:t xml:space="preserve">Conteúdo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 que a persona faz</w:t>
            </w:r>
          </w:p>
        </w:tc>
        <w:tc>
          <w:tcPr/>
          <w:p>
            <w:pPr>
              <w:pStyle w:val="Compact"/>
            </w:pPr>
            <w:r>
              <w:t xml:space="preserve">{{Verifica o stock em obra; confirma com a equipa}}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 que pensa</w:t>
            </w:r>
          </w:p>
        </w:tc>
        <w:tc>
          <w:tcPr/>
          <w:p>
            <w:pPr>
              <w:pStyle w:val="Compact"/>
            </w:pPr>
            <w:r>
              <w:t xml:space="preserve">{{</w:t>
            </w:r>
            <w:r>
              <w:t xml:space="preserve">“Se não chegar amanhã, a obra para”</w:t>
            </w:r>
            <w:r>
              <w:t xml:space="preserve">}}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 que sente</w:t>
            </w:r>
          </w:p>
        </w:tc>
        <w:tc>
          <w:tcPr/>
          <w:p>
            <w:pPr>
              <w:pStyle w:val="Compact"/>
            </w:pPr>
            <w:r>
              <w:t xml:space="preserve">😟 Pressão · Nível de satisfação:</w:t>
            </w:r>
            <w:r>
              <w:t xml:space="preserve"> </w:t>
            </w:r>
            <w:r>
              <w:rPr>
                <w:b/>
                <w:bCs/>
              </w:rPr>
              <w:t xml:space="preserve">2/5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Pontos de contacto</w:t>
            </w:r>
          </w:p>
        </w:tc>
        <w:tc>
          <w:tcPr/>
          <w:p>
            <w:pPr>
              <w:pStyle w:val="Compact"/>
            </w:pPr>
            <w:r>
              <w:t xml:space="preserve">{{Folha de Excel; conversa presencial}}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Canais</w:t>
            </w:r>
          </w:p>
        </w:tc>
        <w:tc>
          <w:tcPr/>
          <w:p>
            <w:pPr>
              <w:pStyle w:val="Compact"/>
            </w:pPr>
            <w:r>
              <w:t xml:space="preserve">{{Telemóvel, papel}}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Tempo gasto</w:t>
            </w:r>
          </w:p>
        </w:tc>
        <w:tc>
          <w:tcPr/>
          <w:p>
            <w:pPr>
              <w:pStyle w:val="Compact"/>
            </w:pPr>
            <w:r>
              <w:t xml:space="preserve">{{20 min}}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Dores</w:t>
            </w:r>
          </w:p>
        </w:tc>
        <w:tc>
          <w:tcPr/>
          <w:p>
            <w:pPr>
              <w:pStyle w:val="Compact"/>
            </w:pPr>
            <w:r>
              <w:t xml:space="preserve">{{Não sabe o stock real; a folha está desatualizada}}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Oportunidade</w:t>
            </w:r>
          </w:p>
        </w:tc>
        <w:tc>
          <w:tcPr/>
          <w:p>
            <w:pPr>
              <w:pStyle w:val="Compact"/>
            </w:pPr>
            <w:r>
              <w:t xml:space="preserve">{{Alerta automático de stock mínimo}} → US-14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Bastidores (backstage)</w:t>
            </w:r>
          </w:p>
        </w:tc>
        <w:tc>
          <w:tcPr/>
          <w:p>
            <w:pPr>
              <w:pStyle w:val="Compact"/>
            </w:pPr>
            <w:r>
              <w:t xml:space="preserve">{{Ninguém atualiza a folha desde a semana passada}}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Métrica</w:t>
            </w:r>
          </w:p>
        </w:tc>
        <w:tc>
          <w:tcPr/>
          <w:p>
            <w:pPr>
              <w:pStyle w:val="Compact"/>
            </w:pPr>
            <w:r>
              <w:t xml:space="preserve">{{% de ruturas detetadas tardiamente}}</w:t>
            </w:r>
          </w:p>
        </w:tc>
      </w:tr>
    </w:tbl>
    <w:bookmarkEnd w:id="54"/>
    <w:bookmarkStart w:id="55" w:name="fase-2-pedido"/>
    <w:p>
      <w:pPr>
        <w:pStyle w:val="Heading3"/>
      </w:pPr>
      <w:r>
        <w:t xml:space="preserve">Fase 2 — {{Pedido}}</w:t>
      </w:r>
    </w:p>
    <w:p>
      <w:pPr>
        <w:pStyle w:val="FirstParagraph"/>
      </w:pPr>
      <w:r>
        <w:t xml:space="preserve">{{Repetir a grelha}}</w:t>
      </w:r>
    </w:p>
    <w:bookmarkEnd w:id="55"/>
    <w:bookmarkStart w:id="56" w:name="fase-3-acompanhamento"/>
    <w:p>
      <w:pPr>
        <w:pStyle w:val="Heading3"/>
      </w:pPr>
      <w:r>
        <w:t xml:space="preserve">Fase 3 — {{Acompanhamento}}</w:t>
      </w:r>
    </w:p>
    <w:bookmarkEnd w:id="56"/>
    <w:bookmarkStart w:id="57" w:name="fase-4-receção"/>
    <w:p>
      <w:pPr>
        <w:pStyle w:val="Heading3"/>
      </w:pPr>
      <w:r>
        <w:t xml:space="preserve">Fase 4 — {{Receção}}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59" w:name="momentos-da-verdade"/>
    <w:p>
      <w:pPr>
        <w:pStyle w:val="Heading2"/>
      </w:pPr>
      <w:r>
        <w:t xml:space="preserve">3. Momentos da verdade</w:t>
      </w:r>
    </w:p>
    <w:p>
      <w:pPr>
        <w:pStyle w:val="BlockText"/>
      </w:pPr>
      <w:r>
        <w:t xml:space="preserve">Passos onde a experiência é decidida — falhar aqui custa a relação.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Momento</w:t>
            </w:r>
          </w:p>
        </w:tc>
        <w:tc>
          <w:tcPr/>
          <w:p>
            <w:pPr>
              <w:pStyle w:val="Compact"/>
            </w:pPr>
            <w:r>
              <w:t xml:space="preserve">Porque é crítico</w:t>
            </w:r>
          </w:p>
        </w:tc>
        <w:tc>
          <w:tcPr/>
          <w:p>
            <w:pPr>
              <w:pStyle w:val="Compact"/>
            </w:pPr>
            <w:r>
              <w:t xml:space="preserve">Estado atual</w:t>
            </w:r>
          </w:p>
        </w:tc>
        <w:tc>
          <w:tcPr/>
          <w:p>
            <w:pPr>
              <w:pStyle w:val="Compact"/>
            </w:pPr>
            <w:r>
              <w:t xml:space="preserve">Alvo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</w:t>
            </w:r>
          </w:p>
        </w:tc>
        <w:tc>
          <w:tcPr/>
          <w:p>
            <w:pPr>
              <w:pStyle w:val="Compact"/>
            </w:pPr>
            <w:r>
              <w:t xml:space="preserve">{{Confirmação de disponibilidade}}</w:t>
            </w:r>
          </w:p>
        </w:tc>
        <w:tc>
          <w:tcPr/>
          <w:p>
            <w:pPr>
              <w:pStyle w:val="Compact"/>
            </w:pPr>
            <w:r>
              <w:t xml:space="preserve">{{Determina se a obra para}}</w:t>
            </w:r>
          </w:p>
        </w:tc>
        <w:tc>
          <w:tcPr/>
          <w:p>
            <w:pPr>
              <w:pStyle w:val="Compact"/>
            </w:pPr>
            <w:r>
              <w:t xml:space="preserve">{{Demora 4 h}}</w:t>
            </w:r>
          </w:p>
        </w:tc>
        <w:tc>
          <w:tcPr/>
          <w:p>
            <w:pPr>
              <w:pStyle w:val="Compact"/>
            </w:pPr>
            <w:r>
              <w:t xml:space="preserve">{{Imediata}}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</w:t>
            </w:r>
          </w:p>
        </w:tc>
        <w:tc>
          <w:tcPr/>
          <w:p>
            <w:pPr>
              <w:pStyle w:val="Compact"/>
            </w:pPr>
            <w:r>
              <w:t xml:space="preserve">{{Primeira utilização do sistema}}</w:t>
            </w:r>
          </w:p>
        </w:tc>
        <w:tc>
          <w:tcPr/>
          <w:p>
            <w:pPr>
              <w:pStyle w:val="Compact"/>
            </w:pPr>
            <w:r>
              <w:t xml:space="preserve">{{Define se volta a usar}}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{{Sucesso sem formação}}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9"/>
    <w:bookmarkStart w:id="60" w:name="pontos-de-atrito-priorizados"/>
    <w:p>
      <w:pPr>
        <w:pStyle w:val="Heading2"/>
      </w:pPr>
      <w:r>
        <w:t xml:space="preserve">4. Pontos de atrito priorizados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Atrito</w:t>
            </w:r>
          </w:p>
        </w:tc>
        <w:tc>
          <w:tcPr/>
          <w:p>
            <w:pPr>
              <w:pStyle w:val="Compact"/>
            </w:pPr>
            <w:r>
              <w:t xml:space="preserve">Fase</w:t>
            </w:r>
          </w:p>
        </w:tc>
        <w:tc>
          <w:tcPr/>
          <w:p>
            <w:pPr>
              <w:pStyle w:val="Compact"/>
            </w:pPr>
            <w:r>
              <w:t xml:space="preserve">Frequência</w:t>
            </w:r>
          </w:p>
        </w:tc>
        <w:tc>
          <w:tcPr/>
          <w:p>
            <w:pPr>
              <w:pStyle w:val="Compact"/>
            </w:pPr>
            <w:r>
              <w:t xml:space="preserve">Severidade</w:t>
            </w:r>
          </w:p>
        </w:tc>
        <w:tc>
          <w:tcPr/>
          <w:p>
            <w:pPr>
              <w:pStyle w:val="Compact"/>
            </w:pPr>
            <w:r>
              <w:t xml:space="preserve">Esforço de resolução</w:t>
            </w:r>
          </w:p>
        </w:tc>
        <w:tc>
          <w:tcPr/>
          <w:p>
            <w:pPr>
              <w:pStyle w:val="Compact"/>
            </w:pPr>
            <w:r>
              <w:t xml:space="preserve">Prioridade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</w:t>
            </w:r>
          </w:p>
        </w:tc>
        <w:tc>
          <w:tcPr/>
          <w:p>
            <w:pPr>
              <w:pStyle w:val="Compact"/>
            </w:pPr>
            <w:r>
              <w:t xml:space="preserve">{{Não há visibilidade de stock}}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Diária</w:t>
            </w:r>
          </w:p>
        </w:tc>
        <w:tc>
          <w:tcPr/>
          <w:p>
            <w:pPr>
              <w:pStyle w:val="Compact"/>
            </w:pPr>
            <w:r>
              <w:t xml:space="preserve">Alta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</w:t>
            </w:r>
          </w:p>
        </w:tc>
        <w:tc>
          <w:tcPr/>
          <w:p>
            <w:pPr>
              <w:pStyle w:val="Compact"/>
            </w:pPr>
            <w:r>
              <w:t xml:space="preserve">{{Confirmação por telefone}}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Diária</w:t>
            </w:r>
          </w:p>
        </w:tc>
        <w:tc>
          <w:tcPr/>
          <w:p>
            <w:pPr>
              <w:pStyle w:val="Compact"/>
            </w:pPr>
            <w:r>
              <w:t xml:space="preserve">Média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0"/>
    <w:bookmarkStart w:id="64" w:name="X0fb51c67a6ebddbfd52e13766f5817a10e33cb6"/>
    <w:p>
      <w:pPr>
        <w:pStyle w:val="Heading2"/>
      </w:pPr>
      <w:r>
        <w:t xml:space="preserve">5. Service Blueprint (ligar frontstage e backstage)</w:t>
      </w:r>
    </w:p>
    <w:p>
      <w:pPr>
        <w:pStyle w:val="FirstParagraph"/>
      </w:pPr>
      <w:r>
        <w:drawing>
          <wp:inline>
            <wp:extent cx="6191999" cy="4885378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out-2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999" cy="48853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Linha de interação:</w:t>
      </w:r>
      <w:r>
        <w:t xml:space="preserve"> </w:t>
      </w:r>
      <w:r>
        <w:t xml:space="preserve">entre Frontstage e Backstage</w:t>
      </w:r>
      <w:r>
        <w:t xml:space="preserve"> </w:t>
      </w:r>
      <w:r>
        <w:rPr>
          <w:b/>
          <w:bCs/>
        </w:rPr>
        <w:t xml:space="preserve">Linha de visibilidade:</w:t>
      </w:r>
      <w:r>
        <w:t xml:space="preserve"> </w:t>
      </w:r>
      <w:r>
        <w:t xml:space="preserve">o cliente não vê nada abaixo de Frontstage</w:t>
      </w:r>
      <w:r>
        <w:t xml:space="preserve"> </w:t>
      </w:r>
      <w:r>
        <w:rPr>
          <w:b/>
          <w:bCs/>
        </w:rPr>
        <w:t xml:space="preserve">Linha de interação interna:</w:t>
      </w:r>
      <w:r>
        <w:t xml:space="preserve"> </w:t>
      </w:r>
      <w:r>
        <w:t xml:space="preserve">entre Backstage e Suporte</w:t>
      </w:r>
    </w:p>
    <w:p>
      <w:r>
        <w:pict>
          <v:rect style="width:0;height:1.5pt" o:hralign="center" o:hrstd="t" o:hr="t"/>
        </w:pict>
      </w:r>
    </w:p>
    <w:bookmarkEnd w:id="64"/>
    <w:bookmarkStart w:id="65" w:name="jornada-to-be"/>
    <w:p>
      <w:pPr>
        <w:pStyle w:val="Heading2"/>
      </w:pPr>
      <w:r>
        <w:t xml:space="preserve">6. Jornada TO-BE</w:t>
      </w:r>
    </w:p>
    <w:p>
      <w:pPr>
        <w:pStyle w:val="FirstParagraph"/>
      </w:pPr>
      <w:r>
        <w:t xml:space="preserve">{{Repetir a estrutura com o desenho futuro e destacar as diferenças}}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Fase</w:t>
            </w:r>
          </w:p>
        </w:tc>
        <w:tc>
          <w:tcPr/>
          <w:p>
            <w:pPr>
              <w:pStyle w:val="Compact"/>
            </w:pPr>
            <w:r>
              <w:t xml:space="preserve">AS-IS (satisfação)</w:t>
            </w:r>
          </w:p>
        </w:tc>
        <w:tc>
          <w:tcPr/>
          <w:p>
            <w:pPr>
              <w:pStyle w:val="Compact"/>
            </w:pPr>
            <w:r>
              <w:t xml:space="preserve">TO-BE (alvo)</w:t>
            </w:r>
          </w:p>
        </w:tc>
        <w:tc>
          <w:tcPr/>
          <w:p>
            <w:pPr>
              <w:pStyle w:val="Compact"/>
            </w:pPr>
            <w:r>
              <w:t xml:space="preserve">Intervenção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Descoberta</w:t>
            </w:r>
          </w:p>
        </w:tc>
        <w:tc>
          <w:tcPr/>
          <w:p>
            <w:pPr>
              <w:pStyle w:val="Compact"/>
            </w:pPr>
            <w:r>
              <w:t xml:space="preserve">2/5</w:t>
            </w:r>
          </w:p>
        </w:tc>
        <w:tc>
          <w:tcPr/>
          <w:p>
            <w:pPr>
              <w:pStyle w:val="Compact"/>
            </w:pPr>
            <w:r>
              <w:t xml:space="preserve">4/5</w:t>
            </w:r>
          </w:p>
        </w:tc>
        <w:tc>
          <w:tcPr/>
          <w:p>
            <w:pPr>
              <w:pStyle w:val="Compact"/>
            </w:pPr>
            <w:r>
              <w:t xml:space="preserve">{{Alerta automático}}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Pedido</w:t>
            </w:r>
          </w:p>
        </w:tc>
        <w:tc>
          <w:tcPr/>
          <w:p>
            <w:pPr>
              <w:pStyle w:val="Compact"/>
            </w:pPr>
            <w:r>
              <w:t xml:space="preserve">1/5</w:t>
            </w:r>
          </w:p>
        </w:tc>
        <w:tc>
          <w:tcPr/>
          <w:p>
            <w:pPr>
              <w:pStyle w:val="Compact"/>
            </w:pPr>
            <w:r>
              <w:t xml:space="preserve">5/5</w:t>
            </w:r>
          </w:p>
        </w:tc>
        <w:tc>
          <w:tcPr/>
          <w:p>
            <w:pPr>
              <w:pStyle w:val="Compact"/>
            </w:pPr>
            <w:r>
              <w:t xml:space="preserve">{{Autosserviço com stock em tempo real}}</w:t>
            </w:r>
          </w:p>
        </w:tc>
      </w:tr>
    </w:tbl>
    <w:bookmarkEnd w:id="65"/>
    <w:sectPr>
      <w:footerReference xmlns:r="http://schemas.openxmlformats.org/officeDocument/2006/relationships" r:id="rId40" w:type="default"/>
      <w:pgSz w:h="16838" w:w="11906"/>
      <w:pgMar w:bottom="1134" w:footer="709" w:gutter="0" w:header="709" w:left="1021" w:right="1021" w:top="1134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jc w:val="center"/>
      <w:pBdr>
        <w:top w:val="single" w:sz="4" w:space="6" w:color="D6DEE4"/>
      </w:pBdr>
      <w:spacing w:before="60" w:after="0"/>
    </w:pPr>
    <w:r>
      <w:rPr>
        <w:rFonts w:ascii="Calibri" w:hAnsi="Calibri"/>
        <w:sz w:val="16"/>
        <w:color w:val="7A868F"/>
      </w:rPr>
      <w:t xml:space="preserve">Pagina </w:t>
    </w:r>
    <w:r>
      <w:rPr>
        <w:sz w:val="16"/>
        <w:color w:val="7A868F"/>
      </w:rPr>
      <w:fldChar w:fldCharType="begin"/>
    </w:r>
    <w:r>
      <w:rPr>
        <w:sz w:val="16"/>
        <w:color w:val="7A868F"/>
      </w:rPr>
      <w:instrText xml:space="preserve"> PAGE </w:instrText>
    </w:r>
    <w:r>
      <w:rPr>
        <w:sz w:val="16"/>
        <w:color w:val="7A868F"/>
      </w:rPr>
      <w:fldChar w:fldCharType="separate"/>
    </w:r>
    <w:r>
      <w:rPr>
        <w:sz w:val="16"/>
        <w:color w:val="7A868F"/>
      </w:rPr>
      <w:t>1</w:t>
    </w:r>
    <w:r>
      <w:rPr>
        <w:sz w:val="16"/>
        <w:color w:val="7A868F"/>
      </w:rPr>
      <w:fldChar w:fldCharType="end"/>
    </w:r>
    <w:r>
      <w:rPr>
        <w:rFonts w:ascii="Calibri" w:hAnsi="Calibri"/>
        <w:sz w:val="16"/>
        <w:color w:val="7A868F"/>
      </w:rPr>
      <w:t xml:space="preserve"> de </w:t>
    </w:r>
    <w:r>
      <w:rPr>
        <w:sz w:val="16"/>
        <w:color w:val="7A868F"/>
      </w:rPr>
      <w:fldChar w:fldCharType="begin"/>
    </w:r>
    <w:r>
      <w:rPr>
        <w:sz w:val="16"/>
        <w:color w:val="7A868F"/>
      </w:rPr>
      <w:instrText xml:space="preserve"> NUMPAGES </w:instrText>
    </w:r>
    <w:r>
      <w:rPr>
        <w:sz w:val="16"/>
        <w:color w:val="7A868F"/>
      </w:rPr>
      <w:fldChar w:fldCharType="separate"/>
    </w:r>
    <w:r>
      <w:rPr>
        <w:sz w:val="16"/>
        <w:color w:val="7A868F"/>
      </w:rPr>
      <w:t>1</w:t>
    </w:r>
    <w:r>
      <w:rPr>
        <w:sz w:val="16"/>
        <w:color w:val="7A868F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pt-PT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264" w:lineRule="auto"/>
    </w:pPr>
    <w:rPr>
      <w:rFonts w:ascii="Calibri" w:cs="Calibri" w:hAnsi="Calibri"/>
      <w:sz w:val="21"/>
      <w:szCs w:val="21"/>
      <w:lang w:bidi="ar-SA" w:eastAsia="pt-PT" w:val="pt-PT"/>
    </w:rPr>
  </w:style>
  <w:style w:styleId="BodyText" w:type="paragraph">
    <w:name w:val="Body Text"/>
    <w:basedOn w:val="Normal"/>
    <w:link w:val="BodyTextChar"/>
    <w:qFormat/>
    <w:pPr>
      <w:spacing w:after="120" w:before="6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qFormat/>
    <w:pPr>
      <w:keepNext/>
      <w:spacing w:after="120" w:before="0"/>
      <w:pBdr>
        <w:bottom w:color="EF7B10" w:space="6" w:sz="18" w:val="single"/>
      </w:pBdr>
    </w:pPr>
    <w:rPr>
      <w:rFonts w:ascii="Calibri" w:hAnsi="Calibri"/>
      <w:b/>
      <w:color w:val="2224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2514E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spacing w:after="140" w:before="360"/>
      <w:pBdr>
        <w:bottom w:color="BA5C00" w:space="4" w:sz="6" w:val="single"/>
      </w:pBdr>
      <w:outlineLvl w:val="0"/>
    </w:pPr>
    <w:rPr>
      <w:rFonts w:ascii="Calibri" w:hAnsi="Calibri"/>
      <w:b/>
      <w:color w:val="222428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spacing w:after="110" w:before="280"/>
      <w:outlineLvl w:val="1"/>
    </w:pPr>
    <w:rPr>
      <w:rFonts w:ascii="Calibri" w:hAnsi="Calibri"/>
      <w:b/>
      <w:color w:val="00537E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spacing w:after="90" w:before="220"/>
      <w:outlineLvl w:val="2"/>
    </w:pPr>
    <w:rPr>
      <w:rFonts w:ascii="Calibri" w:hAnsi="Calibri"/>
      <w:b/>
      <w:color w:val="222428"/>
      <w:sz w:val="23"/>
      <w:szCs w:val="23"/>
    </w:rPr>
  </w:style>
  <w:style w:styleId="Heading4" w:type="paragraph">
    <w:name w:val="heading 4"/>
    <w:basedOn w:val="Normal"/>
    <w:next w:val="BodyText"/>
    <w:link w:val="Heading4Char"/>
    <w:uiPriority w:val="9"/>
    <w:qFormat/>
    <w:pPr>
      <w:keepNext/>
      <w:keepLines/>
      <w:spacing w:after="80" w:before="180"/>
      <w:outlineLvl w:val="3"/>
    </w:pPr>
    <w:rPr>
      <w:rFonts w:ascii="Calibri" w:hAnsi="Calibri"/>
      <w:b/>
      <w:color w:val="222428"/>
      <w:sz w:val="21"/>
      <w:szCs w:val="2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222428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2514E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2514E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52514E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52514E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222428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222428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222428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222428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222428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2514E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2514E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52514E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52514E"/>
    </w:rPr>
  </w:style>
  <w:style w:styleId="BlockText" w:type="paragraph">
    <w:name w:val="Block Text"/>
    <w:basedOn w:val="Normal"/>
    <w:qFormat/>
    <w:pPr>
      <w:spacing w:after="120" w:before="120"/>
      <w:ind w:left="240" w:right="120"/>
      <w:shd w:color="auto" w:fill="FEE1CE" w:val="clear"/>
      <w:pBdr>
        <w:left w:color="EF7B10" w:space="8" w:sz="18" w:val="single"/>
      </w:pBdr>
    </w:pPr>
    <w:rPr>
      <w:color w:val="52514E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40" w:lineRule="auto"/>
    </w:pPr>
    <w:rPr>
      <w:sz w:val="19"/>
      <w:szCs w:val="19"/>
    </w:rPr>
    <w:tblPr>
      <w:tblInd w:type="dxa" w:w="0"/>
      <w:tblBorders>
        <w:top w:color="BFC0C2" w:sz="4" w:val="single"/>
        <w:left w:color="BFC0C2" w:sz="4" w:val="single"/>
        <w:bottom w:color="BFC0C2" w:sz="4" w:val="single"/>
        <w:right w:color="BFC0C2" w:sz="4" w:val="single"/>
        <w:insideH w:color="BFC0C2" w:sz="4" w:val="single"/>
        <w:insideV w:color="BFC0C2" w:sz="4" w:val="singl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keepNext/>
      </w:pPr>
      <w:rPr>
        <w:b/>
        <w:color w:val="FFFFFF"/>
      </w:rPr>
      <w:tcPr>
        <w:shd w:color="auto" w:fill="00537E" w:val="clear"/>
        <w:tcBorders>
          <w:bottom w:color="BFC0C2" w:sz="4" w:val="single"/>
        </w:tcBorders>
        <w:vAlign w:val="center"/>
      </w:tcPr>
    </w:tblStylePr>
    <w:tblStylePr w:type="band2Horz">
      <w:tcPr>
        <w:shd w:color="auto" w:fill="F7F8FA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styleId="ImageCaption" w:type="paragraph">
    <w:name w:val="Image Caption"/>
    <w:basedOn w:val="Normal"/>
    <w:qFormat/>
    <w:pPr>
      <w:jc w:val="center"/>
      <w:spacing w:after="200" w:before="60"/>
    </w:pPr>
    <w:rPr>
      <w:i/>
      <w:color w:val="6B6E74"/>
      <w:sz w:val="18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  <w:szCs w:val="18"/>
      <w:color w:val="00537E"/>
      <w:shd w:color="auto" w:fill="ECEFF3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00537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222428"/>
    </w:rPr>
  </w:style>
  <w:style w:customStyle="1" w:styleId="SourceCode" w:type="paragraph">
    <w:name w:val="Source Code"/>
    <w:basedOn w:val="Normal"/>
    <w:qFormat/>
    <w:pPr>
      <w:keepLines/>
      <w:spacing w:after="0" w:before="0" w:line="240" w:lineRule="auto"/>
      <w:ind w:left="120" w:right="120"/>
      <w:shd w:color="auto" w:fill="ECEFF3" w:val="clear"/>
      <w:pBdr>
        <w:top w:color="BFC0C2" w:space="2" w:sz="4" w:val="single"/>
        <w:left w:color="BA5C00" w:space="4" w:sz="18" w:val="single"/>
        <w:bottom w:color="BFC0C2" w:space="2" w:sz="4" w:val="single"/>
        <w:right w:color="BFC0C2" w:space="2" w:sz="4" w:val="single"/>
      </w:pBdr>
    </w:pPr>
    <w:rPr>
      <w:rFonts w:ascii="Consolas" w:hAnsi="Consolas"/>
      <w:sz w:val="17"/>
      <w:szCs w:val="17"/>
    </w:rPr>
  </w:style>
  <w:style w:customStyle="1" w:styleId="KeywordTok" w:type="character">
    <w:name w:val="KeywordTok"/>
    <w:basedOn w:val="VerbatimChar"/>
    <w:rPr>
      <w:b/>
      <w:color w:val="00537e"/>
    </w:rPr>
  </w:style>
  <w:style w:customStyle="1" w:styleId="DataTypeTok" w:type="character">
    <w:name w:val="DataTypeTok"/>
    <w:basedOn w:val="VerbatimChar"/>
    <w:rPr>
      <w:color w:val="00679e"/>
    </w:rPr>
  </w:style>
  <w:style w:customStyle="1" w:styleId="DecValTok" w:type="character">
    <w:name w:val="DecValTok"/>
    <w:basedOn w:val="VerbatimChar"/>
    <w:rPr>
      <w:color w:val="876c0d"/>
    </w:rPr>
  </w:style>
  <w:style w:customStyle="1" w:styleId="BaseNTok" w:type="character">
    <w:name w:val="BaseNTok"/>
    <w:basedOn w:val="VerbatimChar"/>
    <w:rPr>
      <w:color w:val="876c0d"/>
    </w:rPr>
  </w:style>
  <w:style w:customStyle="1" w:styleId="FloatTok" w:type="character">
    <w:name w:val="FloatTok"/>
    <w:basedOn w:val="VerbatimChar"/>
    <w:rPr>
      <w:color w:val="876c0d"/>
    </w:rPr>
  </w:style>
  <w:style w:customStyle="1" w:styleId="ConstantTok" w:type="character">
    <w:name w:val="ConstantTok"/>
    <w:basedOn w:val="VerbatimChar"/>
    <w:rPr>
      <w:color w:val="876c0d"/>
    </w:rPr>
  </w:style>
  <w:style w:customStyle="1" w:styleId="CharTok" w:type="character">
    <w:name w:val="CharTok"/>
    <w:basedOn w:val="VerbatimChar"/>
    <w:rPr>
      <w:color w:val="367c2b"/>
    </w:rPr>
  </w:style>
  <w:style w:customStyle="1" w:styleId="SpecialCharTok" w:type="character">
    <w:name w:val="SpecialCharTok"/>
    <w:basedOn w:val="VerbatimChar"/>
    <w:rPr>
      <w:color w:val="a2451c"/>
    </w:rPr>
  </w:style>
  <w:style w:customStyle="1" w:styleId="StringTok" w:type="character">
    <w:name w:val="StringTok"/>
    <w:basedOn w:val="VerbatimChar"/>
    <w:rPr>
      <w:color w:val="367c2b"/>
    </w:rPr>
  </w:style>
  <w:style w:customStyle="1" w:styleId="VerbatimStringTok" w:type="character">
    <w:name w:val="VerbatimStringTok"/>
    <w:basedOn w:val="VerbatimChar"/>
    <w:rPr>
      <w:color w:val="367c2b"/>
    </w:rPr>
  </w:style>
  <w:style w:customStyle="1" w:styleId="SpecialStringTok" w:type="character">
    <w:name w:val="SpecialStringTok"/>
    <w:basedOn w:val="VerbatimChar"/>
    <w:rPr>
      <w:color w:val="367c2b"/>
    </w:rPr>
  </w:style>
  <w:style w:customStyle="1" w:styleId="ImportTok" w:type="character">
    <w:name w:val="ImportTok"/>
    <w:basedOn w:val="VerbatimChar"/>
    <w:rPr>
      <w:b/>
      <w:color w:val="00537e"/>
    </w:rPr>
  </w:style>
  <w:style w:customStyle="1" w:styleId="CommentTok" w:type="character">
    <w:name w:val="CommentTok"/>
    <w:basedOn w:val="VerbatimChar"/>
    <w:rPr>
      <w:i/>
      <w:color w:val="6b6e74"/>
    </w:rPr>
  </w:style>
  <w:style w:customStyle="1" w:styleId="DocumentationTok" w:type="character">
    <w:name w:val="DocumentationTok"/>
    <w:basedOn w:val="VerbatimChar"/>
    <w:rPr>
      <w:i/>
      <w:color w:val="6b6e74"/>
    </w:rPr>
  </w:style>
  <w:style w:customStyle="1" w:styleId="AnnotationTok" w:type="character">
    <w:name w:val="AnnotationTok"/>
    <w:basedOn w:val="VerbatimChar"/>
    <w:rPr>
      <w:i/>
      <w:color w:val="6b6e74"/>
    </w:rPr>
  </w:style>
  <w:style w:customStyle="1" w:styleId="CommentVarTok" w:type="character">
    <w:name w:val="CommentVarTok"/>
    <w:basedOn w:val="VerbatimChar"/>
    <w:rPr>
      <w:i/>
      <w:color w:val="6b6e74"/>
    </w:rPr>
  </w:style>
  <w:style w:customStyle="1" w:styleId="OtherTok" w:type="character">
    <w:name w:val="OtherTok"/>
    <w:basedOn w:val="VerbatimChar"/>
    <w:rPr>
      <w:color w:val="222428"/>
    </w:rPr>
  </w:style>
  <w:style w:customStyle="1" w:styleId="FunctionTok" w:type="character">
    <w:name w:val="FunctionTok"/>
    <w:basedOn w:val="VerbatimChar"/>
    <w:rPr>
      <w:color w:val="00679e"/>
    </w:rPr>
  </w:style>
  <w:style w:customStyle="1" w:styleId="VariableTok" w:type="character">
    <w:name w:val="VariableTok"/>
    <w:basedOn w:val="VerbatimChar"/>
    <w:rPr>
      <w:color w:val="222428"/>
    </w:rPr>
  </w:style>
  <w:style w:customStyle="1" w:styleId="ControlFlowTok" w:type="character">
    <w:name w:val="ControlFlowTok"/>
    <w:basedOn w:val="VerbatimChar"/>
    <w:rPr>
      <w:b/>
      <w:color w:val="00537e"/>
    </w:rPr>
  </w:style>
  <w:style w:customStyle="1" w:styleId="OperatorTok" w:type="character">
    <w:name w:val="OperatorTok"/>
    <w:basedOn w:val="VerbatimChar"/>
    <w:rPr>
      <w:color w:val="222428"/>
    </w:rPr>
  </w:style>
  <w:style w:customStyle="1" w:styleId="BuiltInTok" w:type="character">
    <w:name w:val="BuiltInTok"/>
    <w:basedOn w:val="VerbatimChar"/>
    <w:rPr>
      <w:color w:val="222428"/>
    </w:rPr>
  </w:style>
  <w:style w:customStyle="1" w:styleId="ExtensionTok" w:type="character">
    <w:name w:val="ExtensionTok"/>
    <w:basedOn w:val="VerbatimChar"/>
    <w:rPr>
      <w:color w:val="222428"/>
    </w:rPr>
  </w:style>
  <w:style w:customStyle="1" w:styleId="PreprocessorTok" w:type="character">
    <w:name w:val="PreprocessorTok"/>
    <w:basedOn w:val="VerbatimChar"/>
    <w:rPr>
      <w:color w:val="a2451c"/>
    </w:rPr>
  </w:style>
  <w:style w:customStyle="1" w:styleId="AttributeTok" w:type="character">
    <w:name w:val="AttributeTok"/>
    <w:basedOn w:val="VerbatimChar"/>
    <w:rPr>
      <w:color w:val="00679e"/>
    </w:rPr>
  </w:style>
  <w:style w:customStyle="1" w:styleId="RegionMarkerTok" w:type="character">
    <w:name w:val="RegionMarkerTok"/>
    <w:basedOn w:val="VerbatimChar"/>
    <w:rPr>
      <w:color w:val="222428"/>
    </w:rPr>
  </w:style>
  <w:style w:customStyle="1" w:styleId="InformationTok" w:type="character">
    <w:name w:val="InformationTok"/>
    <w:basedOn w:val="VerbatimChar"/>
    <w:rPr>
      <w:i/>
      <w:color w:val="6b6e74"/>
    </w:rPr>
  </w:style>
  <w:style w:customStyle="1" w:styleId="WarningTok" w:type="character">
    <w:name w:val="WarningTok"/>
    <w:basedOn w:val="VerbatimChar"/>
    <w:rPr>
      <w:b/>
      <w:color w:val="876c0d"/>
    </w:rPr>
  </w:style>
  <w:style w:customStyle="1" w:styleId="AlertTok" w:type="character">
    <w:name w:val="AlertTok"/>
    <w:basedOn w:val="VerbatimChar"/>
    <w:rPr>
      <w:b/>
      <w:color w:val="cf372d"/>
    </w:rPr>
  </w:style>
  <w:style w:customStyle="1" w:styleId="ErrorTok" w:type="character">
    <w:name w:val="ErrorTok"/>
    <w:basedOn w:val="VerbatimChar"/>
    <w:rPr>
      <w:b/>
      <w:color w:val="cf372d"/>
    </w:rPr>
  </w:style>
  <w:style w:customStyle="1" w:styleId="NormalTok" w:type="character">
    <w:name w:val="NormalTok"/>
    <w:basedOn w:val="VerbatimChar"/>
    <w:rPr>
      <w:color w:val="22242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48" Target="numbering.xml" /><Relationship Type="http://schemas.openxmlformats.org/officeDocument/2006/relationships/styles" Id="rId47" Target="styles.xml" /><Relationship Type="http://schemas.openxmlformats.org/officeDocument/2006/relationships/settings" Id="rId46" Target="settings.xml" /><Relationship Type="http://schemas.openxmlformats.org/officeDocument/2006/relationships/webSettings" Id="rId45" Target="webSettings.xml" /><Relationship Type="http://schemas.openxmlformats.org/officeDocument/2006/relationships/fontTable" Id="rId44" Target="fontTable.xml" /><Relationship Type="http://schemas.openxmlformats.org/officeDocument/2006/relationships/theme" Id="rId43" Target="theme/theme1.xml" /><Relationship Type="http://schemas.openxmlformats.org/officeDocument/2006/relationships/footnotes" Id="rId42" Target="footnotes.xml" /><Relationship Type="http://schemas.openxmlformats.org/officeDocument/2006/relationships/comments" Id="rId41" Target="comments.xml" /><Relationship Id="rId40" Target="footer1.xml" Type="http://schemas.openxmlformats.org/officeDocument/2006/relationships/footer" /><Relationship Type="http://schemas.openxmlformats.org/officeDocument/2006/relationships/image" Id="rId50" Target="media/rId50.png" /><Relationship Type="http://schemas.openxmlformats.org/officeDocument/2006/relationships/image" Id="rId61" Target="media/rId61.png" /><Relationship Type="http://schemas.openxmlformats.org/officeDocument/2006/relationships/hyperlink" Id="rId49" Target="../00-produto/02-persona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../00-produto/02-persona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Mapa de Jornada do Utilizador — {{PERSONA}} / {{CENÁRIO}}</dc:title>
  <dc:creator/>
  <dc:language>pt-PT</dc:language>
  <cp:keywords/>
  <dcterms:created xsi:type="dcterms:W3CDTF">2026-08-24T14:48:57Z</dcterms:created>
  <dcterms:modified xsi:type="dcterms:W3CDTF">2026-08-24T14:48:57Z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