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Conteúdo e Microtextos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49" w:name="tom-de-voz"/>
    <w:p>
      <w:pPr>
        <w:pStyle w:val="Heading2"/>
      </w:pPr>
      <w:r>
        <w:t xml:space="preserve">1. Tom de voz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Somos</w:t>
            </w:r>
          </w:p>
        </w:tc>
        <w:tc>
          <w:tcPr/>
          <w:p>
            <w:pPr>
              <w:pStyle w:val="Compact"/>
            </w:pPr>
            <w:r>
              <w:t xml:space="preserve">Não somos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{{Diretos}}</w:t>
            </w:r>
          </w:p>
        </w:tc>
        <w:tc>
          <w:tcPr/>
          <w:p>
            <w:pPr>
              <w:pStyle w:val="Compact"/>
            </w:pPr>
            <w:r>
              <w:t xml:space="preserve">{{Secos}}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{{Claros}}</w:t>
            </w:r>
          </w:p>
        </w:tc>
        <w:tc>
          <w:tcPr/>
          <w:p>
            <w:pPr>
              <w:pStyle w:val="Compact"/>
            </w:pPr>
            <w:r>
              <w:t xml:space="preserve">{{Condescendentes}}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{{Úteis quando algo corre mal}}</w:t>
            </w:r>
          </w:p>
        </w:tc>
        <w:tc>
          <w:tcPr/>
          <w:p>
            <w:pPr>
              <w:pStyle w:val="Compact"/>
            </w:pPr>
            <w:r>
              <w:t xml:space="preserve">{{Alegres quando algo corre mal}}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Tratamento:</w:t>
      </w:r>
      <w:r>
        <w:t xml:space="preserve"> </w:t>
      </w:r>
      <w:r>
        <w:t xml:space="preserve">{{</w:t>
      </w:r>
      <w:r>
        <w:t xml:space="preserve">“você”</w:t>
      </w:r>
      <w:r>
        <w:t xml:space="preserve"> </w:t>
      </w:r>
      <w:r>
        <w:t xml:space="preserve">implícito —</w:t>
      </w:r>
      <w:r>
        <w:t xml:space="preserve"> </w:t>
      </w:r>
      <w:r>
        <w:t xml:space="preserve">“Guarde as alterações”</w:t>
      </w:r>
      <w:r>
        <w:t xml:space="preserve">}} ·</w:t>
      </w:r>
      <w:r>
        <w:t xml:space="preserve"> </w:t>
      </w:r>
      <w:r>
        <w:rPr>
          <w:b/>
          <w:bCs/>
        </w:rPr>
        <w:t xml:space="preserve">Pessoa:</w:t>
      </w:r>
      <w:r>
        <w:t xml:space="preserve"> </w:t>
      </w:r>
      <w:r>
        <w:t xml:space="preserve">{{a aplicação não fala de si na primeira pessoa}}</w:t>
      </w:r>
    </w:p>
    <w:p>
      <w:r>
        <w:pict>
          <v:rect style="width:0;height:1.5pt" o:hralign="center" o:hrstd="t" o:hr="t"/>
        </w:pict>
      </w:r>
    </w:p>
    <w:bookmarkEnd w:id="49"/>
    <w:bookmarkStart w:id="50" w:name="regras-de-escrita-de-interface"/>
    <w:p>
      <w:pPr>
        <w:pStyle w:val="Heading2"/>
      </w:pPr>
      <w:r>
        <w:t xml:space="preserve">2. Regras de escrita de interface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Mau</w:t>
            </w:r>
          </w:p>
        </w:tc>
        <w:tc>
          <w:tcPr/>
          <w:p>
            <w:pPr>
              <w:pStyle w:val="Compact"/>
            </w:pPr>
            <w:r>
              <w:t xml:space="preserve">Bom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botão diz a ação, não confirma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Abater viatura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jargão técnico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 500 no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Não foi possível guardar. Tente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culpar quem 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Introduziu um valor inválido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matrícula tem o formato AA-00-AA.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 o que fazer a seguir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Falhou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 ligação. As alterações ficam guardadas e são enviadas quando houver rede.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Nomeia o objeto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 apagado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Viatura AA-00-AA abatida.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 concretos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 ficheiro é demasiado grande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 ficheiro tem 12 MB; o limite é 5 MB.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catálogo-de-mensagens"/>
    <w:p>
      <w:pPr>
        <w:pStyle w:val="Heading2"/>
      </w:pPr>
      <w:r>
        <w:t xml:space="preserve">3. Catálogo de mensagens</w:t>
      </w:r>
    </w:p>
    <w:bookmarkStart w:id="51" w:name="erros"/>
    <w:p>
      <w:pPr>
        <w:pStyle w:val="Heading3"/>
      </w:pPr>
      <w:r>
        <w:t xml:space="preserve">3.1 Erros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Mensagem</w:t>
            </w:r>
          </w:p>
        </w:tc>
        <w:tc>
          <w:tcPr/>
          <w:p>
            <w:pPr>
              <w:pStyle w:val="Compact"/>
            </w:pPr>
            <w:r>
              <w:t xml:space="preserve">Ação oferecida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{{E-01}}</w:t>
            </w:r>
          </w:p>
        </w:tc>
        <w:tc>
          <w:tcPr/>
          <w:p>
            <w:pPr>
              <w:pStyle w:val="Compact"/>
            </w:pPr>
            <w:r>
              <w:t xml:space="preserve">{{Sem ligação}}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“Sem ligação à rede. O que escreveu está guardado.”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{{Repetir}}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{{E-02}}</w:t>
            </w:r>
          </w:p>
        </w:tc>
        <w:tc>
          <w:tcPr/>
          <w:p>
            <w:pPr>
              <w:pStyle w:val="Compact"/>
            </w:pPr>
            <w:r>
              <w:t xml:space="preserve">{{Sessão expirada}}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 sessão terminou por inactividade. Entre outra vez para continuar.”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{{Entrar}}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{{E-03}}</w:t>
            </w:r>
          </w:p>
        </w:tc>
        <w:tc>
          <w:tcPr/>
          <w:p>
            <w:pPr>
              <w:pStyle w:val="Compact"/>
            </w:pPr>
            <w:r>
              <w:t xml:space="preserve">{{Sem permissão}}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“Não tem permissão para {{ação}}. Peça a um gestor.”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{{E-04}}</w:t>
            </w:r>
          </w:p>
        </w:tc>
        <w:tc>
          <w:tcPr/>
          <w:p>
            <w:pPr>
              <w:pStyle w:val="Compact"/>
            </w:pPr>
            <w:r>
              <w:t xml:space="preserve">{{Duplicado}}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“Já existe uma viatura com a matrícula {{valor}}.”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{{Ver a existente}}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{{E-05}}</w:t>
            </w:r>
          </w:p>
        </w:tc>
        <w:tc>
          <w:tcPr/>
          <w:p>
            <w:pPr>
              <w:pStyle w:val="Compact"/>
            </w:pPr>
            <w:r>
              <w:t xml:space="preserve">{{Erro do servidor}}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“Algo correu mal do nosso lado. Já fomos avisados.”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{{Repetir}}</w:t>
            </w:r>
          </w:p>
        </w:tc>
      </w:tr>
    </w:tbl>
    <w:bookmarkEnd w:id="51"/>
    <w:bookmarkStart w:id="52" w:name="estados-vazios"/>
    <w:p>
      <w:pPr>
        <w:pStyle w:val="Heading3"/>
      </w:pPr>
      <w:r>
        <w:t xml:space="preserve">3.2 Estados vazios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Ecrã</w:t>
            </w:r>
          </w:p>
        </w:tc>
        <w:tc>
          <w:tcPr/>
          <w:p>
            <w:pPr>
              <w:pStyle w:val="Compact"/>
            </w:pPr>
            <w:r>
              <w:t xml:space="preserve">Mensagem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{{Lista de viaturas}}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“Ainda não há viaturas registadas.”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“Registar a primeira”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{{Pesquisa sem resultados}}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“Nada encontrado para «{{termo}}».”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“Limpar pesquisa”</w:t>
            </w:r>
            <w:r>
              <w:t xml:space="preserve">}}</w:t>
            </w:r>
          </w:p>
        </w:tc>
      </w:tr>
    </w:tbl>
    <w:p>
      <w:pPr>
        <w:pStyle w:val="BlockText"/>
      </w:pPr>
      <w:r>
        <w:t xml:space="preserve">Um estado vazio é uma oportunidade de ensinar. Uma lista vazia sem explicação</w:t>
      </w:r>
      <w:r>
        <w:t xml:space="preserve"> </w:t>
      </w:r>
      <w:r>
        <w:t xml:space="preserve">parece uma avaria.</w:t>
      </w:r>
    </w:p>
    <w:bookmarkEnd w:id="52"/>
    <w:bookmarkStart w:id="53" w:name="confirmações"/>
    <w:p>
      <w:pPr>
        <w:pStyle w:val="Heading3"/>
      </w:pPr>
      <w:r>
        <w:t xml:space="preserve">3.3 Confirmações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Botão que confirma</w:t>
            </w:r>
          </w:p>
        </w:tc>
        <w:tc>
          <w:tcPr/>
          <w:p>
            <w:pPr>
              <w:pStyle w:val="Compact"/>
            </w:pPr>
            <w:r>
              <w:t xml:space="preserve">Botão que cancela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{{Abater viatura}}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“Abater a viatura {{matrícula}}? O histórico mantém-se, mas deixa de poder ser atribuída.”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“Abater”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“Cancelar”</w:t>
            </w:r>
            <w:r>
              <w:t xml:space="preserve">}}</w:t>
            </w:r>
          </w:p>
        </w:tc>
      </w:tr>
    </w:tbl>
    <w:bookmarkEnd w:id="53"/>
    <w:bookmarkStart w:id="54" w:name="sucesso"/>
    <w:p>
      <w:pPr>
        <w:pStyle w:val="Heading3"/>
      </w:pPr>
      <w:r>
        <w:t xml:space="preserve">3.4 Sucesso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Ação</w:t>
            </w:r>
          </w:p>
        </w:tc>
        <w:tc>
          <w:tcPr/>
          <w:p>
            <w:pPr>
              <w:pStyle w:val="Compact"/>
            </w:pPr>
            <w:r>
              <w:t xml:space="preserve">Mensagem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{{Guardar}}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“Alterações guardadas.”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{{3 s}}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7" w:name="terminologia-uma-palavra-por-conceito"/>
    <w:p>
      <w:pPr>
        <w:pStyle w:val="Heading2"/>
      </w:pPr>
      <w:r>
        <w:t xml:space="preserve">4. Terminologia — uma palavra por conceito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Usamos</w:t>
            </w:r>
          </w:p>
        </w:tc>
        <w:tc>
          <w:tcPr/>
          <w:p>
            <w:pPr>
              <w:pStyle w:val="Compact"/>
            </w:pPr>
            <w:r>
              <w:t xml:space="preserve">Nunca usamos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{{Veículo da frota}}</w:t>
            </w:r>
          </w:p>
        </w:tc>
        <w:tc>
          <w:tcPr/>
          <w:p>
            <w:pPr>
              <w:pStyle w:val="Compact"/>
            </w:pPr>
            <w:r>
              <w:t xml:space="preserve">{{Viatura}}</w:t>
            </w:r>
          </w:p>
        </w:tc>
        <w:tc>
          <w:tcPr/>
          <w:p>
            <w:pPr>
              <w:pStyle w:val="Compact"/>
            </w:pPr>
            <w:r>
              <w:t xml:space="preserve">{{Carro, veículo, unidade}}</w:t>
            </w:r>
          </w:p>
        </w:tc>
        <w:tc>
          <w:tcPr/>
          <w:p>
            <w:pPr>
              <w:pStyle w:val="Compact"/>
            </w:pPr>
            <w:r>
              <w:t xml:space="preserve">{{É o termo do negócio}}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{{Pessoa que conduz}}</w:t>
            </w:r>
          </w:p>
        </w:tc>
        <w:tc>
          <w:tcPr/>
          <w:p>
            <w:pPr>
              <w:pStyle w:val="Compact"/>
            </w:pPr>
            <w:r>
              <w:t xml:space="preserve">{{Condutor}}</w:t>
            </w:r>
          </w:p>
        </w:tc>
        <w:tc>
          <w:tcPr/>
          <w:p>
            <w:pPr>
              <w:pStyle w:val="Compact"/>
            </w:pPr>
            <w:r>
              <w:t xml:space="preserve">{{Motorista, utilizador}}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t xml:space="preserve">Alinhado com o</w:t>
      </w:r>
      <w:r>
        <w:t xml:space="preserve"> </w:t>
      </w:r>
      <w:hyperlink r:id="rId56">
        <w:r>
          <w:rPr>
            <w:rStyle w:val="Hyperlink"/>
          </w:rPr>
          <w:t xml:space="preserve">Glossário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Se aqui e lá</w:t>
      </w:r>
      <w:r>
        <w:rPr>
          <w:b/>
          <w:bCs/>
        </w:rPr>
        <w:t xml:space="preserve"> </w:t>
      </w:r>
      <w:r>
        <w:rPr>
          <w:b/>
          <w:bCs/>
        </w:rPr>
        <w:t xml:space="preserve">divergirem, o glossário ganha</w:t>
      </w:r>
      <w:r>
        <w:t xml:space="preserve"> </w:t>
      </w:r>
      <w:r>
        <w:t xml:space="preserve">— e este documento atualiza-se.</w:t>
      </w:r>
    </w:p>
    <w:p>
      <w:r>
        <w:pict>
          <v:rect style="width:0;height:1.5pt" o:hralign="center" o:hrstd="t" o:hr="t"/>
        </w:pict>
      </w:r>
    </w:p>
    <w:bookmarkEnd w:id="57"/>
    <w:bookmarkStart w:id="58" w:name="idiomas"/>
    <w:p>
      <w:pPr>
        <w:pStyle w:val="Heading2"/>
      </w:pPr>
      <w:r>
        <w:t xml:space="preserve">5. Idiomas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Idioma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Responsável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{{Português (PT)}}</w:t>
            </w:r>
          </w:p>
        </w:tc>
        <w:tc>
          <w:tcPr/>
          <w:p>
            <w:pPr>
              <w:pStyle w:val="Compact"/>
            </w:pPr>
            <w:r>
              <w:t xml:space="preserve">{{Base}}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{{Inglês}}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Chaves de tradução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ecra.accao.elemento</w:t>
            </w:r>
            <w:r>
              <w:t xml:space="preserve">}} — nunca o texto como chave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Plurais</w:t>
            </w:r>
          </w:p>
        </w:tc>
        <w:tc>
          <w:tcPr/>
          <w:p>
            <w:pPr>
              <w:pStyle w:val="Compact"/>
            </w:pPr>
            <w:r>
              <w:t xml:space="preserve">Tratados pelo mecanismo de plurais, não por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Datas, números, moeda</w:t>
            </w:r>
          </w:p>
        </w:tc>
        <w:tc>
          <w:tcPr/>
          <w:p>
            <w:pPr>
              <w:pStyle w:val="Compact"/>
            </w:pPr>
            <w:r>
              <w:t xml:space="preserve">Formatados pela localidade, nunca concatenados à mão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Espaço</w:t>
            </w:r>
          </w:p>
        </w:tc>
        <w:tc>
          <w:tcPr/>
          <w:p>
            <w:pPr>
              <w:pStyle w:val="Compact"/>
            </w:pPr>
            <w:r>
              <w:t xml:space="preserve">Alemão e finlandês crescem ~{{30%}}; o desenho tem de aguentar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Valores em base de dados</w:t>
            </w:r>
          </w:p>
        </w:tc>
        <w:tc>
          <w:tcPr/>
          <w:p>
            <w:pPr>
              <w:pStyle w:val="Compact"/>
            </w:pPr>
            <w:r>
              <w:t xml:space="preserve">Guardados em {{inglês}}; só as etiquetas se traduzem</w:t>
            </w:r>
          </w:p>
        </w:tc>
      </w:tr>
    </w:tbl>
    <w:bookmarkEnd w:id="5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6" Target="../01-requisitos/06-glossari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01-requisitos/06-glossari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Conteúdo e Microtextos — {{PROJETO}}</dc:title>
  <dc:creator/>
  <dc:language>pt-PT</dc:language>
  <cp:keywords/>
  <dcterms:created xsi:type="dcterms:W3CDTF">2026-08-24T14:49:00Z</dcterms:created>
  <dcterms:modified xsi:type="dcterms:W3CDTF">2026-08-24T14:49:00Z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