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ADR-0001 — Usar monólito modular em vez de microsserviços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Decisores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</w:tbl>
    <w:bookmarkStart w:id="49" w:name="contexto-e-problema"/>
    <w:p>
      <w:pPr>
        <w:pStyle w:val="Heading2"/>
      </w:pPr>
      <w:r>
        <w:t xml:space="preserve">Contexto e problema</w:t>
      </w:r>
    </w:p>
    <w:p>
      <w:pPr>
        <w:pStyle w:val="FirstParagraph"/>
      </w:pPr>
      <w:r>
        <w:t xml:space="preserve">A equipa tem {{5}} pessoas e prazo de {{6}} meses para GA. Existe pressão interna para adotar microsserviços</w:t>
      </w:r>
      <w:r>
        <w:t xml:space="preserve"> </w:t>
      </w:r>
      <w:r>
        <w:t xml:space="preserve">“porque escala”</w:t>
      </w:r>
      <w:r>
        <w:t xml:space="preserve">. O sistema tem três domínios identificados (Vendas, Inventário, Faturação) com fronteiras razoavelmente claras, mas ainda pouco validadas pela prática.</w:t>
      </w:r>
    </w:p>
    <w:p>
      <w:pPr>
        <w:pStyle w:val="BodyText"/>
      </w:pPr>
      <w:r>
        <w:rPr>
          <w:b/>
          <w:bCs/>
        </w:rPr>
        <w:t xml:space="preserve">Pergunta:</w:t>
      </w:r>
      <w:r>
        <w:t xml:space="preserve"> </w:t>
      </w:r>
      <w:r>
        <w:t xml:space="preserve">que granularidade de implantação adotar na v1?</w:t>
      </w:r>
    </w:p>
    <w:p>
      <w:pPr>
        <w:pStyle w:val="BodyText"/>
      </w:pPr>
      <w:r>
        <w:rPr>
          <w:b/>
          <w:bCs/>
        </w:rPr>
        <w:t xml:space="preserve">Critérios:</w:t>
      </w:r>
      <w:r>
        <w:t xml:space="preserve"> </w:t>
      </w:r>
      <w:r>
        <w:t xml:space="preserve">velocidade de entrega (alto) · competências da equipa (alto) · custo operacional (médio) · capacidade de evoluir para serviços separados (alto).</w:t>
      </w:r>
    </w:p>
    <w:bookmarkEnd w:id="49"/>
    <w:bookmarkStart w:id="53" w:name="opções-consideradas"/>
    <w:p>
      <w:pPr>
        <w:pStyle w:val="Heading2"/>
      </w:pPr>
      <w:r>
        <w:t xml:space="preserve">Opções consideradas</w:t>
      </w:r>
    </w:p>
    <w:bookmarkStart w:id="50" w:name="a-microsserviços-desde-o-início"/>
    <w:p>
      <w:pPr>
        <w:pStyle w:val="Heading3"/>
      </w:pPr>
      <w:r>
        <w:t xml:space="preserve">A — Microsserviços desde o início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Prós</w:t>
            </w:r>
          </w:p>
        </w:tc>
        <w:tc>
          <w:tcPr/>
          <w:p>
            <w:pPr>
              <w:pStyle w:val="Compact"/>
            </w:pPr>
            <w:r>
              <w:t xml:space="preserve">Contras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 independente</w:t>
            </w:r>
          </w:p>
        </w:tc>
        <w:tc>
          <w:tcPr/>
          <w:p>
            <w:pPr>
              <w:pStyle w:val="Compact"/>
            </w:pPr>
            <w:r>
              <w:t xml:space="preserve">Complexidade operacional elevada para 5 pessoas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Fronteiras forçadas</w:t>
            </w:r>
          </w:p>
        </w:tc>
        <w:tc>
          <w:tcPr/>
          <w:p>
            <w:pPr>
              <w:pStyle w:val="Compact"/>
            </w:pPr>
            <w:r>
              <w:t xml:space="preserve">Fronteiras ainda não validadas — risco de dividir mal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Transações distribuídas desde o dia 1</w:t>
            </w:r>
          </w:p>
        </w:tc>
      </w:tr>
    </w:tbl>
    <w:bookmarkEnd w:id="50"/>
    <w:bookmarkStart w:id="51" w:name="X8b9520a717f1eef7216a1e588ce60f8640f581f"/>
    <w:p>
      <w:pPr>
        <w:pStyle w:val="Heading3"/>
      </w:pPr>
      <w:r>
        <w:t xml:space="preserve">B — Monólito modular (módulos com fronteiras explícitas, uma implantação)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Prós</w:t>
            </w:r>
          </w:p>
        </w:tc>
        <w:tc>
          <w:tcPr/>
          <w:p>
            <w:pPr>
              <w:pStyle w:val="Compact"/>
            </w:pPr>
            <w:r>
              <w:t xml:space="preserve">Contras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implantação, uma transação, depuração simples</w:t>
            </w:r>
          </w:p>
        </w:tc>
        <w:tc>
          <w:tcPr/>
          <w:p>
            <w:pPr>
              <w:pStyle w:val="Compact"/>
            </w:pPr>
            <w:r>
              <w:t xml:space="preserve">Escala apenas em conjunto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Fronteiras podem ser corrigidas sem custo de rede</w:t>
            </w:r>
          </w:p>
        </w:tc>
        <w:tc>
          <w:tcPr/>
          <w:p>
            <w:pPr>
              <w:pStyle w:val="Compact"/>
            </w:pPr>
            <w:r>
              <w:t xml:space="preserve">Requer disciplina para não erodir os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Caminho de extração posterior mantido aberto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c-monólito-sem-modularização"/>
    <w:p>
      <w:pPr>
        <w:pStyle w:val="Heading3"/>
      </w:pPr>
      <w:r>
        <w:t xml:space="preserve">C — Monólito sem modularização</w:t>
      </w:r>
    </w:p>
    <w:p>
      <w:pPr>
        <w:pStyle w:val="FirstParagraph"/>
      </w:pPr>
      <w:r>
        <w:t xml:space="preserve">Descartada: hipoteca a evolução sem ganho relevante.</w:t>
      </w:r>
    </w:p>
    <w:bookmarkEnd w:id="52"/>
    <w:bookmarkEnd w:id="53"/>
    <w:bookmarkStart w:id="54" w:name="decisão"/>
    <w:p>
      <w:pPr>
        <w:pStyle w:val="Heading2"/>
      </w:pPr>
      <w:r>
        <w:t xml:space="preserve">Decisão</w:t>
      </w:r>
    </w:p>
    <w:p>
      <w:pPr>
        <w:pStyle w:val="FirstParagraph"/>
      </w:pPr>
      <w:r>
        <w:rPr>
          <w:b/>
          <w:bCs/>
        </w:rPr>
        <w:t xml:space="preserve">Opção B — monólito modular.</w:t>
      </w:r>
      <w:r>
        <w:t xml:space="preserve"> </w:t>
      </w:r>
      <w:r>
        <w:t xml:space="preserve">Cada contexto delimitado é um módulo com API interna explícita; comunicação entre módulos apenas por essas interfaces e por eventos de domínio, nunca por acesso direto a tabelas alheias. Aceitamos escalar em bloco em troca de velocidade de entrega e de fronteiras corrigíveis.</w:t>
      </w:r>
    </w:p>
    <w:bookmarkEnd w:id="54"/>
    <w:bookmarkStart w:id="55" w:name="consequências"/>
    <w:p>
      <w:pPr>
        <w:pStyle w:val="Heading2"/>
      </w:pPr>
      <w:r>
        <w:t xml:space="preserve">Consequências</w:t>
      </w:r>
    </w:p>
    <w:p>
      <w:pPr>
        <w:pStyle w:val="FirstParagraph"/>
      </w:pPr>
      <w:r>
        <w:rPr>
          <w:b/>
          <w:bCs/>
        </w:rPr>
        <w:t xml:space="preserve">Positivas:</w:t>
      </w:r>
      <w:r>
        <w:t xml:space="preserve"> </w:t>
      </w:r>
      <w:r>
        <w:t xml:space="preserve">entrega mais rápida; sem infraestrutura de service mesh; transações locais garantem as invariantes de encomenda.</w:t>
      </w:r>
      <w:r>
        <w:t xml:space="preserve"> </w:t>
      </w:r>
      <w:r>
        <w:rPr>
          <w:b/>
          <w:bCs/>
        </w:rPr>
        <w:t xml:space="preserve">Negativas:</w:t>
      </w:r>
      <w:r>
        <w:t xml:space="preserve"> </w:t>
      </w:r>
      <w:r>
        <w:t xml:space="preserve">um módulo com carga anómala obriga a escalar tudo —</w:t>
      </w:r>
      <w:r>
        <w:t xml:space="preserve"> </w:t>
      </w:r>
      <w:r>
        <w:rPr>
          <w:i/>
          <w:iCs/>
        </w:rPr>
        <w:t xml:space="preserve">mitigação:</w:t>
      </w:r>
      <w:r>
        <w:t xml:space="preserve"> </w:t>
      </w:r>
      <w:r>
        <w:t xml:space="preserve">módulos sem estado, escalonamento horizontal barato. Risco de erosão das fronteiras —</w:t>
      </w:r>
      <w:r>
        <w:t xml:space="preserve"> </w:t>
      </w:r>
      <w:r>
        <w:rPr>
          <w:i/>
          <w:iCs/>
        </w:rPr>
        <w:t xml:space="preserve">mitigação:</w:t>
      </w:r>
      <w:r>
        <w:t xml:space="preserve"> </w:t>
      </w:r>
      <w:r>
        <w:t xml:space="preserve">teste de arquitetura no CI que falha se um módulo importar internals de outro.</w:t>
      </w:r>
    </w:p>
    <w:bookmarkEnd w:id="55"/>
    <w:bookmarkStart w:id="56" w:name="condições-de-revisão"/>
    <w:p>
      <w:pPr>
        <w:pStyle w:val="Heading2"/>
      </w:pPr>
      <w:r>
        <w:t xml:space="preserve">Condições de revisão</w:t>
      </w:r>
    </w:p>
    <w:p>
      <w:pPr>
        <w:pStyle w:val="FirstParagraph"/>
      </w:pPr>
      <w:r>
        <w:t xml:space="preserve">Revisitar se: um módulo passar a exigir perfil de recursos muito distinto; a equipa ultrapassar {{15}} pessoas; o tempo de build exceder {{10}} min.</w:t>
      </w:r>
    </w:p>
    <w:bookmarkEnd w:id="56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ADR-0001 — Usar monólito modular em vez de microsserviços</dc:title>
  <dc:creator/>
  <dc:language>pt-PT</dc:language>
  <cp:keywords/>
  <dcterms:created xsi:type="dcterms:W3CDTF">2026-08-24T14:49:06Z</dcterms:created>
  <dcterms:modified xsi:type="dcterms:W3CDTF">2026-08-24T14:49:06Z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