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Guia de Contribuição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Obrigado por contribuir. Este documento descreve o processo; o</w:t>
      </w:r>
      <w:r>
        <w:t xml:space="preserve"> </w:t>
      </w:r>
      <w:hyperlink r:id="rId49">
        <w:r>
          <w:rPr>
            <w:rStyle w:val="Hyperlink"/>
          </w:rPr>
          <w:t xml:space="preserve">setup do ambiente</w:t>
        </w:r>
      </w:hyperlink>
      <w:r>
        <w:t xml:space="preserve"> </w:t>
      </w:r>
      <w:r>
        <w:t xml:space="preserve">descreve as ferramentas.</w:t>
      </w:r>
    </w:p>
    <w:p>
      <w:r>
        <w:pict>
          <v:rect style="width:0;height:1.5pt" o:hralign="center" o:hrstd="t" o:hr="t"/>
        </w:pict>
      </w:r>
    </w:p>
    <w:bookmarkStart w:id="53" w:name="fluxo-de-trabalho"/>
    <w:p>
      <w:pPr>
        <w:pStyle w:val="Heading2"/>
      </w:pPr>
      <w:r>
        <w:t xml:space="preserve">1. Fluxo de trabalho</w:t>
      </w:r>
    </w:p>
    <w:p>
      <w:pPr>
        <w:pStyle w:val="FirstParagraph"/>
      </w:pPr>
      <w:r>
        <w:drawing>
          <wp:inline>
            <wp:extent cx="2699999" cy="7918269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ou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999" cy="7918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Modelo de branching:</w:t>
      </w:r>
      <w:r>
        <w:t xml:space="preserve"> </w:t>
      </w:r>
      <w:r>
        <w:t xml:space="preserve">{{trunk-based 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está sempre pronta para produção; branches de vida curta (&lt; 2 dias); funcionalidades incompletas escondidas atrás de feature flags}}</w:t>
      </w:r>
    </w:p>
    <w:p>
      <w:r>
        <w:pict>
          <v:rect style="width:0;height:1.5pt" o:hralign="center" o:hrstd="t" o:hr="t"/>
        </w:pict>
      </w:r>
    </w:p>
    <w:bookmarkEnd w:id="53"/>
    <w:bookmarkStart w:id="54" w:name="branches"/>
    <w:p>
      <w:pPr>
        <w:pStyle w:val="Heading2"/>
      </w:pPr>
      <w:r>
        <w:t xml:space="preserve">2. Branches</w:t>
      </w:r>
    </w:p>
    <w:p>
      <w:pPr>
        <w:pStyle w:val="SourceCode"/>
      </w:pPr>
      <w:r>
        <w:rPr>
          <w:rStyle w:val="VerbatimChar"/>
        </w:rPr>
        <w:t xml:space="preserve">{{tipo}}/{{id-issue}}-{{descricao-curta}}</w:t>
      </w:r>
      <w:r>
        <w:br/>
      </w:r>
      <w:r>
        <w:br/>
      </w:r>
      <w:r>
        <w:rPr>
          <w:rStyle w:val="VerbatimChar"/>
        </w:rPr>
        <w:t xml:space="preserve">feat/1234-filtro-encomendas</w:t>
      </w:r>
      <w:r>
        <w:br/>
      </w:r>
      <w:r>
        <w:rPr>
          <w:rStyle w:val="VerbatimChar"/>
        </w:rPr>
        <w:t xml:space="preserve">fix/1250-total-arredondamento</w:t>
      </w:r>
      <w:r>
        <w:br/>
      </w:r>
      <w:r>
        <w:rPr>
          <w:rStyle w:val="VerbatimChar"/>
        </w:rPr>
        <w:t xml:space="preserve">chore/1260-atualizar-dependencias</w:t>
      </w:r>
      <w:r>
        <w:br/>
      </w:r>
      <w:r>
        <w:rPr>
          <w:rStyle w:val="VerbatimChar"/>
        </w:rPr>
        <w:t xml:space="preserve">docs/1270-adr-cache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Nova funcionalidade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Correção de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Alteração interna sem mudar comportamento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Melhoria de desempenho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Apenas testes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Apenas documentação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Dependências, build, configuração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6" w:name="mensagens-de-commit-conventional-commits"/>
    <w:p>
      <w:pPr>
        <w:pStyle w:val="Heading2"/>
      </w:pPr>
      <w:r>
        <w:t xml:space="preserve">3. Mensagens de commit —</w:t>
      </w:r>
      <w:r>
        <w:t xml:space="preserve"> </w:t>
      </w:r>
      <w:hyperlink r:id="rId55">
        <w:r>
          <w:rPr>
            <w:rStyle w:val="Hyperlink"/>
          </w:rPr>
          <w:t xml:space="preserve">Conventional Commits</w:t>
        </w:r>
      </w:hyperlink>
    </w:p>
    <w:p>
      <w:pPr>
        <w:pStyle w:val="SourceCode"/>
      </w:pPr>
      <w:r>
        <w:rPr>
          <w:rStyle w:val="VerbatimChar"/>
        </w:rPr>
        <w:t xml:space="preserve">&lt;tipo&gt;(&lt;âmbito&gt;): &lt;descrição no imperativo, minúscula, sem ponto final&gt;</w:t>
      </w:r>
      <w:r>
        <w:br/>
      </w:r>
      <w:r>
        <w:br/>
      </w:r>
      <w:r>
        <w:rPr>
          <w:rStyle w:val="VerbatimChar"/>
        </w:rPr>
        <w:t xml:space="preserve">&lt;corpo: porquê, não o quê — o diff já mostra o quê&gt;</w:t>
      </w:r>
      <w:r>
        <w:br/>
      </w:r>
      <w:r>
        <w:br/>
      </w:r>
      <w:r>
        <w:rPr>
          <w:rStyle w:val="VerbatimChar"/>
        </w:rPr>
        <w:t xml:space="preserve">&lt;rodapé: Refs #1234 / BREAKING CHANGE: ...&gt;</w:t>
      </w:r>
    </w:p>
    <w:p>
      <w:pPr>
        <w:pStyle w:val="FirstParagraph"/>
      </w:pPr>
      <w:r>
        <w:rPr>
          <w:b/>
          <w:bCs/>
        </w:rPr>
        <w:t xml:space="preserve">Exemplos</w:t>
      </w:r>
    </w:p>
    <w:p>
      <w:pPr>
        <w:pStyle w:val="SourceCode"/>
      </w:pPr>
      <w:r>
        <w:rPr>
          <w:rStyle w:val="VerbatimChar"/>
        </w:rPr>
        <w:t xml:space="preserve">feat(encomendas): permitir filtrar por estado e prazo</w:t>
      </w:r>
      <w:r>
        <w:br/>
      </w:r>
      <w:r>
        <w:br/>
      </w:r>
      <w:r>
        <w:rPr>
          <w:rStyle w:val="VerbatimChar"/>
        </w:rPr>
        <w:t xml:space="preserve">O gestor não conseguia identificar encomendas em risco sem</w:t>
      </w:r>
      <w:r>
        <w:br/>
      </w:r>
      <w:r>
        <w:rPr>
          <w:rStyle w:val="VerbatimChar"/>
        </w:rPr>
        <w:t xml:space="preserve">percorrer a lista completa. Adiciona filtros combináveis com</w:t>
      </w:r>
      <w:r>
        <w:br/>
      </w:r>
      <w:r>
        <w:rPr>
          <w:rStyle w:val="VerbatimChar"/>
        </w:rPr>
        <w:t xml:space="preserve">persistência na sessão.</w:t>
      </w:r>
      <w:r>
        <w:br/>
      </w:r>
      <w:r>
        <w:br/>
      </w:r>
      <w:r>
        <w:rPr>
          <w:rStyle w:val="VerbatimChar"/>
        </w:rPr>
        <w:t xml:space="preserve">Refs #1234</w:t>
      </w:r>
    </w:p>
    <w:p>
      <w:pPr>
        <w:pStyle w:val="SourceCode"/>
      </w:pPr>
      <w:r>
        <w:rPr>
          <w:rStyle w:val="VerbatimChar"/>
        </w:rPr>
        <w:t xml:space="preserve">fix(precos): arredondar no fim de cada operação monetária</w:t>
      </w:r>
      <w:r>
        <w:br/>
      </w:r>
      <w:r>
        <w:br/>
      </w:r>
      <w:r>
        <w:rPr>
          <w:rStyle w:val="VerbatimChar"/>
        </w:rPr>
        <w:t xml:space="preserve">O arredondamento intermédio causava divergências de 1 cêntimo</w:t>
      </w:r>
      <w:r>
        <w:br/>
      </w:r>
      <w:r>
        <w:rPr>
          <w:rStyle w:val="VerbatimChar"/>
        </w:rPr>
        <w:t xml:space="preserve">face ao ERP em encomendas com desconto.</w:t>
      </w:r>
      <w:r>
        <w:br/>
      </w:r>
      <w:r>
        <w:br/>
      </w:r>
      <w:r>
        <w:rPr>
          <w:rStyle w:val="VerbatimChar"/>
        </w:rPr>
        <w:t xml:space="preserve">Refs #1250</w:t>
      </w:r>
    </w:p>
    <w:p>
      <w:pPr>
        <w:pStyle w:val="FirstParagraph"/>
      </w:pPr>
      <w:r>
        <w:rPr>
          <w:b/>
          <w:bCs/>
        </w:rPr>
        <w:t xml:space="preserve">Regras:</w:t>
      </w:r>
      <w:r>
        <w:t xml:space="preserve"> </w:t>
      </w:r>
      <w:r>
        <w:t xml:space="preserve">descrição ≤ 72 caracteres · imperativo (</w:t>
      </w:r>
      <w:r>
        <w:t xml:space="preserve">“adiciona”</w:t>
      </w:r>
      <w:r>
        <w:t xml:space="preserve">, não</w:t>
      </w:r>
      <w:r>
        <w:t xml:space="preserve"> </w:t>
      </w:r>
      <w:r>
        <w:t xml:space="preserve">“adicionado”</w:t>
      </w:r>
      <w:r>
        <w:t xml:space="preserve">) · um commit = uma unidade lógica.</w:t>
      </w:r>
    </w:p>
    <w:p>
      <w:r>
        <w:pict>
          <v:rect style="width:0;height:1.5pt" o:hralign="center" o:hrstd="t" o:hr="t"/>
        </w:pict>
      </w:r>
    </w:p>
    <w:bookmarkEnd w:id="56"/>
    <w:bookmarkStart w:id="60" w:name="pull-requests"/>
    <w:p>
      <w:pPr>
        <w:pStyle w:val="Heading2"/>
      </w:pPr>
      <w:r>
        <w:t xml:space="preserve">4. Pull Requests</w:t>
      </w:r>
    </w:p>
    <w:bookmarkStart w:id="57" w:name="antes-de-abrir"/>
    <w:p>
      <w:pPr>
        <w:pStyle w:val="Heading3"/>
      </w:pPr>
      <w:r>
        <w:t xml:space="preserve">Antes de abrir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make check</w:t>
      </w:r>
      <w:r>
        <w:t xml:space="preserve"> </w:t>
      </w:r>
      <w:r>
        <w:t xml:space="preserve">passa localmente</w:t>
      </w:r>
    </w:p>
    <w:p>
      <w:pPr>
        <w:pStyle w:val="Compact"/>
        <w:numPr>
          <w:ilvl w:val="0"/>
          <w:numId w:val="1002"/>
        </w:numPr>
      </w:pPr>
      <w:r>
        <w:t xml:space="preserve">Testes cobrem o comportamento novo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o caso de erro</w:t>
      </w:r>
    </w:p>
    <w:p>
      <w:pPr>
        <w:pStyle w:val="Compact"/>
        <w:numPr>
          <w:ilvl w:val="0"/>
          <w:numId w:val="1003"/>
        </w:numPr>
      </w:pPr>
      <w:r>
        <w:t xml:space="preserve">Documentação atualizada (README, ADR, OpenAPI, esta pasta)</w:t>
      </w:r>
    </w:p>
    <w:p>
      <w:pPr>
        <w:pStyle w:val="Compact"/>
        <w:numPr>
          <w:ilvl w:val="0"/>
          <w:numId w:val="1004"/>
        </w:numPr>
      </w:pPr>
      <w:r>
        <w:t xml:space="preserve">Sem segredos, chaves ou dados reais no diff</w:t>
      </w:r>
    </w:p>
    <w:p>
      <w:pPr>
        <w:pStyle w:val="Compact"/>
        <w:numPr>
          <w:ilvl w:val="0"/>
          <w:numId w:val="1005"/>
        </w:numPr>
      </w:pPr>
      <w:r>
        <w:t xml:space="preserve">Sem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sem issue, ou código comentado</w:t>
      </w:r>
    </w:p>
    <w:p>
      <w:pPr>
        <w:pStyle w:val="Compact"/>
        <w:numPr>
          <w:ilvl w:val="0"/>
          <w:numId w:val="1006"/>
        </w:numPr>
      </w:pPr>
      <w:r>
        <w:t xml:space="preserve">Migrações compatíveis com a versão anterior do código</w:t>
      </w:r>
    </w:p>
    <w:bookmarkEnd w:id="57"/>
    <w:bookmarkStart w:id="58" w:name="modelo-de-descrição"/>
    <w:p>
      <w:pPr>
        <w:pStyle w:val="Heading3"/>
      </w:pPr>
      <w:r>
        <w:t xml:space="preserve">Modelo de descrição</w:t>
      </w:r>
    </w:p>
    <w:p>
      <w:pPr>
        <w:pStyle w:val="SourceCode"/>
      </w:pPr>
      <w:r>
        <w:rPr>
          <w:rStyle w:val="FunctionTok"/>
        </w:rPr>
        <w:t xml:space="preserve">## O que muda</w:t>
      </w:r>
      <w:r>
        <w:br/>
      </w:r>
      <w:r>
        <w:rPr>
          <w:rStyle w:val="NormalTok"/>
        </w:rPr>
        <w:t xml:space="preserve">{{1-3 linhas}}</w:t>
      </w:r>
      <w:r>
        <w:br/>
      </w:r>
      <w:r>
        <w:br/>
      </w:r>
      <w:r>
        <w:rPr>
          <w:rStyle w:val="FunctionTok"/>
        </w:rPr>
        <w:t xml:space="preserve">## Porquê</w:t>
      </w:r>
      <w:r>
        <w:br/>
      </w:r>
      <w:r>
        <w:rPr>
          <w:rStyle w:val="NormalTok"/>
        </w:rPr>
        <w:t xml:space="preserve">{{Problema que resolve. Refs #1234}}</w:t>
      </w:r>
      <w:r>
        <w:br/>
      </w:r>
      <w:r>
        <w:br/>
      </w:r>
      <w:r>
        <w:rPr>
          <w:rStyle w:val="FunctionTok"/>
        </w:rPr>
        <w:t xml:space="preserve">## Como testar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{{...}}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{{Resultado esperado: ...}}</w:t>
      </w:r>
      <w:r>
        <w:br/>
      </w:r>
      <w:r>
        <w:br/>
      </w:r>
      <w:r>
        <w:rPr>
          <w:rStyle w:val="FunctionTok"/>
        </w:rPr>
        <w:t xml:space="preserve">## Capturas / vídeo</w:t>
      </w:r>
      <w:r>
        <w:br/>
      </w:r>
      <w:r>
        <w:rPr>
          <w:rStyle w:val="NormalTok"/>
        </w:rPr>
        <w:t xml:space="preserve">{{Antes e depois, se houver alteração visual}}</w:t>
      </w:r>
      <w:r>
        <w:br/>
      </w:r>
      <w:r>
        <w:br/>
      </w:r>
      <w:r>
        <w:rPr>
          <w:rStyle w:val="FunctionTok"/>
        </w:rPr>
        <w:t xml:space="preserve">## Riscos e mitigação</w:t>
      </w:r>
      <w:r>
        <w:br/>
      </w:r>
      <w:r>
        <w:rPr>
          <w:rStyle w:val="NormalTok"/>
        </w:rPr>
        <w:t xml:space="preserve">{{O que pode correr mal em produção; feature flag; plano de rollback}}</w:t>
      </w:r>
      <w:r>
        <w:br/>
      </w:r>
      <w:r>
        <w:br/>
      </w:r>
      <w:r>
        <w:rPr>
          <w:rStyle w:val="FunctionTok"/>
        </w:rPr>
        <w:t xml:space="preserve">## Checklist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Documentação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Acessibilidade verificada (teclado + contraste)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Sem alterações incompatíveis de API (ou documentadas)</w:t>
      </w:r>
    </w:p>
    <w:bookmarkEnd w:id="58"/>
    <w:bookmarkStart w:id="59" w:name="dimensão"/>
    <w:p>
      <w:pPr>
        <w:pStyle w:val="Heading3"/>
      </w:pPr>
      <w:r>
        <w:t xml:space="preserve">Dimensão</w:t>
      </w:r>
    </w:p>
    <w:p>
      <w:pPr>
        <w:pStyle w:val="FirstParagraph"/>
      </w:pPr>
      <w:r>
        <w:t xml:space="preserve">Alvo:</w:t>
      </w:r>
      <w:r>
        <w:t xml:space="preserve"> </w:t>
      </w:r>
      <w:r>
        <w:rPr>
          <w:b/>
          <w:bCs/>
        </w:rPr>
        <w:t xml:space="preserve">&lt; 400 linhas alteradas</w:t>
      </w:r>
      <w:r>
        <w:t xml:space="preserve">. PRs maiores demoram mais a rever e escondem defeitos — divide em: refactor preparatório → funcionalidade → limpeza.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revisão-de-código"/>
    <w:p>
      <w:pPr>
        <w:pStyle w:val="Heading2"/>
      </w:pPr>
      <w:r>
        <w:t xml:space="preserve">5. Revisão de código</w:t>
      </w:r>
    </w:p>
    <w:bookmarkStart w:id="61" w:name="para-quem-revê"/>
    <w:p>
      <w:pPr>
        <w:pStyle w:val="Heading3"/>
      </w:pPr>
      <w:r>
        <w:t xml:space="preserve">Para quem revê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Bug, falha de segurança, quebra de contrato</w:t>
            </w:r>
          </w:p>
        </w:tc>
        <w:tc>
          <w:tcPr/>
          <w:p>
            <w:pPr>
              <w:pStyle w:val="Compact"/>
            </w:pPr>
            <w:r>
              <w:t xml:space="preserve">Pedir alteração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Deveria</w:t>
            </w:r>
          </w:p>
        </w:tc>
        <w:tc>
          <w:tcPr/>
          <w:p>
            <w:pPr>
              <w:pStyle w:val="Compact"/>
            </w:pPr>
            <w:r>
              <w:t xml:space="preserve">Melhoria clara e relevante</w:t>
            </w:r>
          </w:p>
        </w:tc>
        <w:tc>
          <w:tcPr/>
          <w:p>
            <w:pPr>
              <w:pStyle w:val="Compact"/>
            </w:pPr>
            <w:r>
              <w:t xml:space="preserve">Sugerir; autor decide justificando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nit: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Preferência de estilo</w:t>
            </w:r>
          </w:p>
        </w:tc>
        <w:tc>
          <w:tcPr/>
          <w:p>
            <w:pPr>
              <w:pStyle w:val="Compact"/>
            </w:pPr>
            <w:r>
              <w:t xml:space="preserve">Nunca bloqueia</w:t>
            </w:r>
          </w:p>
        </w:tc>
      </w:tr>
    </w:tbl>
    <w:p>
      <w:pPr>
        <w:pStyle w:val="BodyText"/>
      </w:pPr>
      <w:r>
        <w:rPr>
          <w:b/>
          <w:bCs/>
        </w:rPr>
        <w:t xml:space="preserve">Boas práticas</w:t>
      </w:r>
      <w:r>
        <w:t xml:space="preserve"> </w:t>
      </w:r>
      <w:r>
        <w:t xml:space="preserve">- Comenta o código, nunca a pessoa:</w:t>
      </w:r>
      <w:r>
        <w:t xml:space="preserve"> </w:t>
      </w:r>
      <w:r>
        <w:t xml:space="preserve">“esta função tem 3 responsabilidades”</w:t>
      </w:r>
      <w:r>
        <w:t xml:space="preserve">, não</w:t>
      </w:r>
      <w:r>
        <w:t xml:space="preserve"> </w:t>
      </w:r>
      <w:r>
        <w:t xml:space="preserve">“escreveste mal”</w:t>
      </w:r>
      <w:r>
        <w:t xml:space="preserve">.</w:t>
      </w:r>
      <w:r>
        <w:t xml:space="preserve"> </w:t>
      </w:r>
      <w:r>
        <w:t xml:space="preserve">- Explica o porquê e sugere alternativa concreta.</w:t>
      </w:r>
      <w:r>
        <w:t xml:space="preserve"> </w:t>
      </w:r>
      <w:r>
        <w:t xml:space="preserve">- Aprova quando está</w:t>
      </w:r>
      <w:r>
        <w:t xml:space="preserve"> </w:t>
      </w:r>
      <w:r>
        <w:rPr>
          <w:i/>
          <w:iCs/>
        </w:rPr>
        <w:t xml:space="preserve">bom o suficiente</w:t>
      </w:r>
      <w:r>
        <w:t xml:space="preserve">, não quando está como tu farias.</w:t>
      </w:r>
      <w:r>
        <w:t xml:space="preserve"> </w:t>
      </w:r>
      <w:r>
        <w:t xml:space="preserve">- Prazo alvo: primeira resposta em</w:t>
      </w:r>
      <w:r>
        <w:t xml:space="preserve"> </w:t>
      </w:r>
      <w:r>
        <w:rPr>
          <w:b/>
          <w:bCs/>
        </w:rPr>
        <w:t xml:space="preserve">{{24 h úteis}}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 que verificar</w:t>
      </w:r>
      <w:r>
        <w:t xml:space="preserve"> </w:t>
      </w:r>
      <w:r>
        <w:t xml:space="preserve">- [ ] Resolve o problema declarado, sem âmbito extra</w:t>
      </w:r>
      <w:r>
        <w:t xml:space="preserve"> </w:t>
      </w:r>
      <w:r>
        <w:t xml:space="preserve">- [ ] Casos limite: vazio, nulo, erro, concorrência, limites numéricos</w:t>
      </w:r>
      <w:r>
        <w:t xml:space="preserve"> </w:t>
      </w:r>
      <w:r>
        <w:t xml:space="preserve">- [ ] Segurança: entrada validada, autorização verificada no servidor, sem injeção</w:t>
      </w:r>
      <w:r>
        <w:t xml:space="preserve"> </w:t>
      </w:r>
      <w:r>
        <w:t xml:space="preserve">- [ ] Testes verificam comportamento, não implementação</w:t>
      </w:r>
      <w:r>
        <w:t xml:space="preserve"> </w:t>
      </w:r>
      <w:r>
        <w:t xml:space="preserve">- [ ] Nomes revelam intenção; código legível sem comentários explicativos</w:t>
      </w:r>
      <w:r>
        <w:t xml:space="preserve"> </w:t>
      </w:r>
      <w:r>
        <w:t xml:space="preserve">- [ ] Sem regressão de desempenho evidente (N+1, consulta sem índice)</w:t>
      </w:r>
      <w:r>
        <w:t xml:space="preserve"> </w:t>
      </w:r>
      <w:r>
        <w:t xml:space="preserve">- [ ] Erros tratados e observáveis</w:t>
      </w:r>
    </w:p>
    <w:bookmarkEnd w:id="61"/>
    <w:bookmarkStart w:id="62" w:name="para-quem-é-revisto"/>
    <w:p>
      <w:pPr>
        <w:pStyle w:val="Heading3"/>
      </w:pPr>
      <w:r>
        <w:t xml:space="preserve">Para quem é revisto</w:t>
      </w:r>
    </w:p>
    <w:p>
      <w:pPr>
        <w:pStyle w:val="Compact"/>
        <w:numPr>
          <w:ilvl w:val="0"/>
          <w:numId w:val="1007"/>
        </w:numPr>
      </w:pPr>
      <w:r>
        <w:t xml:space="preserve">Responde a todos os comentários (mesmo que com</w:t>
      </w:r>
      <w:r>
        <w:t xml:space="preserve"> </w:t>
      </w:r>
      <w:r>
        <w:t xml:space="preserve">“feito”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Discordar é legítimo — explica o raciocínio; se persistir, decide o {{tech lead}}.</w:t>
      </w:r>
    </w:p>
    <w:p>
      <w:pPr>
        <w:pStyle w:val="Compact"/>
        <w:numPr>
          <w:ilvl w:val="0"/>
          <w:numId w:val="1007"/>
        </w:numPr>
      </w:pPr>
      <w:r>
        <w:t xml:space="preserve">Não faças force-push depois de a revisão começar (dificulta ver o que mudou); usa novos commits e faz squash no merge.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testes-exigidos"/>
    <w:p>
      <w:pPr>
        <w:pStyle w:val="Heading2"/>
      </w:pPr>
      <w:r>
        <w:t xml:space="preserve">6. Testes exigidos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alteração</w:t>
            </w:r>
          </w:p>
        </w:tc>
        <w:tc>
          <w:tcPr/>
          <w:p>
            <w:pPr>
              <w:pStyle w:val="Compact"/>
            </w:pPr>
            <w:r>
              <w:t xml:space="preserve">Testes obrigatórios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 de negócio</w:t>
            </w:r>
          </w:p>
        </w:tc>
        <w:tc>
          <w:tcPr/>
          <w:p>
            <w:pPr>
              <w:pStyle w:val="Compact"/>
            </w:pPr>
            <w:r>
              <w:t xml:space="preserve">Unitários com casos limite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de API</w:t>
            </w:r>
          </w:p>
        </w:tc>
        <w:tc>
          <w:tcPr/>
          <w:p>
            <w:pPr>
              <w:pStyle w:val="Compact"/>
            </w:pPr>
            <w:r>
              <w:t xml:space="preserve">Integração + contrato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Componente + acessibilidade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Correção de bug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 que falha antes da correção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Migração</w:t>
            </w:r>
          </w:p>
        </w:tc>
        <w:tc>
          <w:tcPr/>
          <w:p>
            <w:pPr>
              <w:pStyle w:val="Compact"/>
            </w:pPr>
            <w:r>
              <w:t xml:space="preserve">Aplicação e reversão em cópia com dados</w:t>
            </w:r>
          </w:p>
        </w:tc>
      </w:tr>
    </w:tbl>
    <w:p>
      <w:pPr>
        <w:pStyle w:val="BlockText"/>
      </w:pPr>
      <w:r>
        <w:t xml:space="preserve">Ver</w:t>
      </w:r>
      <w:r>
        <w:t xml:space="preserve"> </w:t>
      </w:r>
      <w:hyperlink r:id="rId64">
        <w:r>
          <w:rPr>
            <w:rStyle w:val="Hyperlink"/>
          </w:rPr>
          <w:t xml:space="preserve">Plano de Testes</w:t>
        </w:r>
      </w:hyperlink>
    </w:p>
    <w:p>
      <w:r>
        <w:pict>
          <v:rect style="width:0;height:1.5pt" o:hralign="center" o:hrstd="t" o:hr="t"/>
        </w:pict>
      </w:r>
    </w:p>
    <w:bookmarkEnd w:id="65"/>
    <w:bookmarkStart w:id="68" w:name="merge-e-release"/>
    <w:p>
      <w:pPr>
        <w:pStyle w:val="Heading2"/>
      </w:pPr>
      <w:r>
        <w:t xml:space="preserve">7. Merge e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Squash merge; a mensagem do squash segue Conventional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{{1 aprovação}} + CI verde + sem conflitos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faz merge</w:t>
            </w:r>
          </w:p>
        </w:tc>
        <w:tc>
          <w:tcPr/>
          <w:p>
            <w:pPr>
              <w:pStyle w:val="Compact"/>
            </w:pPr>
            <w:r>
              <w:t xml:space="preserve">O autor, após aprovação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Versionamento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SemVer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MAJOR.MINOR.PATCH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 de Alterações</w:t>
            </w:r>
          </w:p>
        </w:tc>
        <w:tc>
          <w:tcPr/>
          <w:p>
            <w:pPr>
              <w:pStyle w:val="Compact"/>
            </w:pPr>
            <w:r>
              <w:t xml:space="preserve">Gerado a partir dos commits; ver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CHANGELOG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0" w:name="reportar-bugs"/>
    <w:p>
      <w:pPr>
        <w:pStyle w:val="Heading2"/>
      </w:pPr>
      <w:r>
        <w:t xml:space="preserve">8. Reportar bugs</w:t>
      </w:r>
    </w:p>
    <w:p>
      <w:pPr>
        <w:pStyle w:val="SourceCode"/>
      </w:pPr>
      <w:r>
        <w:rPr>
          <w:rStyle w:val="NormalTok"/>
        </w:rPr>
        <w:t xml:space="preserve">**Descrição:** {{o que acontece}}</w:t>
      </w:r>
      <w:r>
        <w:br/>
      </w:r>
      <w:r>
        <w:rPr>
          <w:rStyle w:val="NormalTok"/>
        </w:rPr>
        <w:t xml:space="preserve">**Passos para reproduzir:** 1. … 2. … 3. …</w:t>
      </w:r>
      <w:r>
        <w:br/>
      </w:r>
      <w:r>
        <w:rPr>
          <w:rStyle w:val="NormalTok"/>
        </w:rPr>
        <w:t xml:space="preserve">**Resultado esperado:** {{...}}</w:t>
      </w:r>
      <w:r>
        <w:br/>
      </w:r>
      <w:r>
        <w:rPr>
          <w:rStyle w:val="NormalTok"/>
        </w:rPr>
        <w:t xml:space="preserve">**Resultado obtido:** {{...}}</w:t>
      </w:r>
      <w:r>
        <w:br/>
      </w:r>
      <w:r>
        <w:rPr>
          <w:rStyle w:val="NormalTok"/>
        </w:rPr>
        <w:t xml:space="preserve">**Ambiente:** {{versão, browser/SO, ambiente}}</w:t>
      </w:r>
      <w:r>
        <w:br/>
      </w:r>
      <w:r>
        <w:rPr>
          <w:rStyle w:val="NormalTok"/>
        </w:rPr>
        <w:t xml:space="preserve">**Gravidade:** Crítica / Alta / Média / Baixa</w:t>
      </w:r>
      <w:r>
        <w:br/>
      </w:r>
      <w:r>
        <w:rPr>
          <w:rStyle w:val="NormalTok"/>
        </w:rPr>
        <w:t xml:space="preserve">**Evidência:** {{capturas, logs, trace_id}}</w:t>
      </w:r>
    </w:p>
    <w:p>
      <w:pPr>
        <w:pStyle w:val="FirstParagraph"/>
      </w:pPr>
      <w:r>
        <w:rPr>
          <w:b/>
          <w:bCs/>
        </w:rPr>
        <w:t xml:space="preserve">Vulnerabilidades de segurança: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abrir issue pública — ver</w:t>
      </w:r>
      <w:r>
        <w:t xml:space="preserve"> </w:t>
      </w:r>
      <w:hyperlink r:id="rId69">
        <w:r>
          <w:rPr>
            <w:rStyle w:val="Hyperlink"/>
          </w:rPr>
          <w:t xml:space="preserve">SECURITY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código-de-conduta"/>
    <w:p>
      <w:pPr>
        <w:pStyle w:val="Heading2"/>
      </w:pPr>
      <w:r>
        <w:t xml:space="preserve">9. Código de conduta</w:t>
      </w:r>
    </w:p>
    <w:p>
      <w:pPr>
        <w:pStyle w:val="FirstParagraph"/>
      </w:pPr>
      <w:r>
        <w:t xml:space="preserve">{{Ligar ao CODE_OF_CONDUCT.md. Resumo: respeito, boa-fé, foco no problema.}}</w:t>
      </w:r>
    </w:p>
    <w:bookmarkEnd w:id="7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hyperlink" Id="rId64" Target="../05-qualidade/01-plano-testes.md" TargetMode="External" /><Relationship Type="http://schemas.openxmlformats.org/officeDocument/2006/relationships/hyperlink" Id="rId69" Target="../07-governanca/01-seguranca.md" TargetMode="External" /><Relationship Type="http://schemas.openxmlformats.org/officeDocument/2006/relationships/hyperlink" Id="rId67" Target="../08-utilizador/03-registo-de-alteracoes.md" TargetMode="External" /><Relationship Type="http://schemas.openxmlformats.org/officeDocument/2006/relationships/hyperlink" Id="rId49" Target="01-preparacao-do-ambiente.md" TargetMode="External" /><Relationship Type="http://schemas.openxmlformats.org/officeDocument/2006/relationships/hyperlink" Id="rId66" Target="https://semver.org/lang/pt-BR/" TargetMode="External" /><Relationship Type="http://schemas.openxmlformats.org/officeDocument/2006/relationships/hyperlink" Id="rId55" Target="https://www.conventionalcommi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../05-qualidade/01-plano-testes.md" TargetMode="External" /><Relationship Type="http://schemas.openxmlformats.org/officeDocument/2006/relationships/hyperlink" Id="rId69" Target="../07-governanca/01-seguranca.md" TargetMode="External" /><Relationship Type="http://schemas.openxmlformats.org/officeDocument/2006/relationships/hyperlink" Id="rId67" Target="../08-utilizador/03-registo-de-alteracoes.md" TargetMode="External" /><Relationship Type="http://schemas.openxmlformats.org/officeDocument/2006/relationships/hyperlink" Id="rId49" Target="01-preparacao-do-ambiente.md" TargetMode="External" /><Relationship Type="http://schemas.openxmlformats.org/officeDocument/2006/relationships/hyperlink" Id="rId66" Target="https://semver.org/lang/pt-BR/" TargetMode="External" /><Relationship Type="http://schemas.openxmlformats.org/officeDocument/2006/relationships/hyperlink" Id="rId55" Target="https://www.conventionalcommi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Contribuição — {{PROJETO}}</dc:title>
  <dc:creator/>
  <dc:language>pt-PT</dc:language>
  <cp:keywords/>
  <dcterms:created xsi:type="dcterms:W3CDTF">2026-08-24T14:49:07Z</dcterms:created>
  <dcterms:modified xsi:type="dcterms:W3CDTF">2026-08-24T14:49:07Z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