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Padrões de Código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 formatação é resolvida por ferramentas ({{formatter}} + {{linter}}), não em revisão de código. Este documento cobre o que as ferramentas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conseguem verificar.</w:t>
      </w:r>
    </w:p>
    <w:p>
      <w:r>
        <w:pict>
          <v:rect style="width:0;height:1.5pt" o:hralign="center" o:hrstd="t" o:hr="t"/>
        </w:pict>
      </w:r>
    </w:p>
    <w:bookmarkStart w:id="49" w:name="ferramentas-automáticas-não-negociáveis"/>
    <w:p>
      <w:pPr>
        <w:pStyle w:val="Heading2"/>
      </w:pPr>
      <w:r>
        <w:t xml:space="preserve">1. Ferramentas (automáticas, não negociáveis)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Falha o 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{{ficheiro}}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estática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{{ficheiro}}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modo estrito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de dependências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 (crítico/alto)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máx. {{15}}</w:t>
            </w:r>
          </w:p>
        </w:tc>
        <w:tc>
          <w:tcPr/>
          <w:p>
            <w:pPr>
              <w:pStyle w:val="Compact"/>
            </w:pPr>
            <w:r>
              <w:t xml:space="preserve">Aviso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1" w:name="nomenclatura"/>
    <w:p>
      <w:pPr>
        <w:pStyle w:val="Heading2"/>
      </w:pPr>
      <w:r>
        <w:t xml:space="preserve">2. Nomenclatura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Convenção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Ficheiros</w:t>
            </w:r>
          </w:p>
        </w:tc>
        <w:tc>
          <w:tcPr/>
          <w:p>
            <w:pPr>
              <w:pStyle w:val="Compact"/>
            </w:pPr>
            <w:r>
              <w:t xml:space="preserve">{{kebab-case}}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calculador-precos.ts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 / tipos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EstadoEncomenda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 / variáveis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SCREAMING_SNAKE_CASE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LIMITE_APROVACAO_CENTS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Booleanos</w:t>
            </w:r>
          </w:p>
        </w:tc>
        <w:tc>
          <w:tcPr/>
          <w:p>
            <w:pPr>
              <w:pStyle w:val="Compact"/>
            </w:pPr>
            <w:r>
              <w:t xml:space="preserve">prefixo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/</w:t>
            </w:r>
            <w:r>
              <w:rPr>
                <w:rStyle w:val="VerbatimChar"/>
              </w:rPr>
              <w:t xml:space="preserve">tem</w:t>
            </w:r>
            <w:r>
              <w:t xml:space="preserve">/</w:t>
            </w:r>
            <w:r>
              <w:rPr>
                <w:rStyle w:val="VerbatimChar"/>
              </w:rPr>
              <w:t xml:space="preserve">pode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podeCancelar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</w:t>
            </w:r>
          </w:p>
        </w:tc>
        <w:tc>
          <w:tcPr/>
          <w:p>
            <w:pPr>
              <w:pStyle w:val="Compact"/>
            </w:pPr>
            <w:r>
              <w:t xml:space="preserve">verbo + objeto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validarNif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</w:t>
      </w:r>
      <w:r>
        <w:t xml:space="preserve"> </w:t>
      </w:r>
      <w:r>
        <w:t xml:space="preserve">- Usa a linguagem do</w:t>
      </w:r>
      <w:r>
        <w:t xml:space="preserve"> </w:t>
      </w:r>
      <w:hyperlink r:id="rId50">
        <w:r>
          <w:rPr>
            <w:rStyle w:val="Hyperlink"/>
          </w:rPr>
          <w:t xml:space="preserve">Glossário</w:t>
        </w:r>
      </w:hyperlink>
      <w:r>
        <w:t xml:space="preserve">. Se o negócio diz</w:t>
      </w:r>
      <w:r>
        <w:t xml:space="preserve"> </w:t>
      </w:r>
      <w:r>
        <w:t xml:space="preserve">“Encomenda”</w:t>
      </w:r>
      <w:r>
        <w:t xml:space="preserve">, a classe é</w:t>
      </w:r>
      <w:r>
        <w:t xml:space="preserve"> </w:t>
      </w:r>
      <w:r>
        <w:rPr>
          <w:rStyle w:val="VerbatimChar"/>
        </w:rPr>
        <w:t xml:space="preserve">Encomenda</w:t>
      </w:r>
      <w:r>
        <w:t xml:space="preserve"> </w:t>
      </w:r>
      <w:r>
        <w:t xml:space="preserve">— não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.</w:t>
      </w:r>
      <w:r>
        <w:t xml:space="preserve"> </w:t>
      </w:r>
      <w:r>
        <w:t xml:space="preserve">- Nomes revelam intenção: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✗ ·</w:t>
      </w:r>
      <w:r>
        <w:t xml:space="preserve"> </w:t>
      </w:r>
      <w:r>
        <w:rPr>
          <w:rStyle w:val="VerbatimChar"/>
        </w:rPr>
        <w:t xml:space="preserve">dias</w:t>
      </w:r>
      <w:r>
        <w:t xml:space="preserve"> </w:t>
      </w:r>
      <w:r>
        <w:t xml:space="preserve">~ ·</w:t>
      </w:r>
      <w:r>
        <w:t xml:space="preserve"> </w:t>
      </w:r>
      <w:r>
        <w:rPr>
          <w:rStyle w:val="VerbatimChar"/>
        </w:rPr>
        <w:t xml:space="preserve">diasAteExpirar</w:t>
      </w:r>
      <w:r>
        <w:t xml:space="preserve"> </w:t>
      </w:r>
      <w:r>
        <w:t xml:space="preserve">✓</w:t>
      </w:r>
      <w:r>
        <w:t xml:space="preserve"> </w:t>
      </w:r>
      <w:r>
        <w:t xml:space="preserve">- Evita abreviaturas exceto as universais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).</w:t>
      </w:r>
      <w:r>
        <w:t xml:space="preserve"> </w:t>
      </w:r>
      <w:r>
        <w:t xml:space="preserve">- Sem números mágicos:</w:t>
      </w:r>
      <w:r>
        <w:t xml:space="preserve"> </w:t>
      </w:r>
      <w:r>
        <w:rPr>
          <w:rStyle w:val="VerbatimChar"/>
        </w:rPr>
        <w:t xml:space="preserve">if (total &gt; 500000)</w:t>
      </w:r>
      <w:r>
        <w:t xml:space="preserve"> </w:t>
      </w:r>
      <w:r>
        <w:t xml:space="preserve">✗ ·</w:t>
      </w:r>
      <w:r>
        <w:t xml:space="preserve"> </w:t>
      </w:r>
      <w:r>
        <w:rPr>
          <w:rStyle w:val="VerbatimChar"/>
        </w:rPr>
        <w:t xml:space="preserve">if (total &gt; LIMITE_APROVACAO_CENTS)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51"/>
    <w:bookmarkStart w:id="55" w:name="estrutura"/>
    <w:p>
      <w:pPr>
        <w:pStyle w:val="Heading2"/>
      </w:pPr>
      <w:r>
        <w:t xml:space="preserve">3. Estrutura</w:t>
      </w:r>
    </w:p>
    <w:bookmarkStart w:id="52" w:name="camadas-e-dependências"/>
    <w:p>
      <w:pPr>
        <w:pStyle w:val="Heading3"/>
      </w:pPr>
      <w:r>
        <w:t xml:space="preserve">3.1 Camadas e dependências</w:t>
      </w:r>
    </w:p>
    <w:p>
      <w:pPr>
        <w:pStyle w:val="SourceCode"/>
      </w:pPr>
      <w:r>
        <w:rPr>
          <w:rStyle w:val="VerbatimChar"/>
        </w:rPr>
        <w:t xml:space="preserve">apresentacao  →  aplicacao  →  dominio  ←  infraestrutura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domínio</w:t>
      </w:r>
      <w:r>
        <w:t xml:space="preserve"> </w:t>
      </w:r>
      <w:r>
        <w:t xml:space="preserve">não importa nada de fora: sem framework, sem ORM, sem HTTP.</w:t>
      </w:r>
    </w:p>
    <w:p>
      <w:pPr>
        <w:pStyle w:val="Compact"/>
        <w:numPr>
          <w:ilvl w:val="0"/>
          <w:numId w:val="1001"/>
        </w:numPr>
      </w:pPr>
      <w:r>
        <w:t xml:space="preserve">A infraestrutura implementa interfaces</w:t>
      </w:r>
      <w:r>
        <w:t xml:space="preserve"> </w:t>
      </w:r>
      <w:r>
        <w:rPr>
          <w:b/>
          <w:bCs/>
        </w:rPr>
        <w:t xml:space="preserve">definidas</w:t>
      </w:r>
      <w:r>
        <w:t xml:space="preserve"> </w:t>
      </w:r>
      <w:r>
        <w:t xml:space="preserve">no domínio (inversão de dependências).</w:t>
      </w:r>
    </w:p>
    <w:p>
      <w:pPr>
        <w:pStyle w:val="Compact"/>
        <w:numPr>
          <w:ilvl w:val="0"/>
          <w:numId w:val="1001"/>
        </w:numPr>
      </w:pPr>
      <w:r>
        <w:t xml:space="preserve">Um teste de arquitetura no CI garante isto.</w:t>
      </w:r>
    </w:p>
    <w:bookmarkEnd w:id="52"/>
    <w:bookmarkStart w:id="53" w:name="tamanho"/>
    <w:p>
      <w:pPr>
        <w:pStyle w:val="Heading3"/>
      </w:pPr>
      <w:r>
        <w:t xml:space="preserve">3.2 Tamanho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≤ 20 linhas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≤ 200 linhas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Parâmetros</w:t>
            </w:r>
          </w:p>
        </w:tc>
        <w:tc>
          <w:tcPr/>
          <w:p>
            <w:pPr>
              <w:pStyle w:val="Compact"/>
            </w:pPr>
            <w:r>
              <w:t xml:space="preserve">≤ 3</w:t>
            </w:r>
          </w:p>
        </w:tc>
        <w:tc>
          <w:tcPr/>
          <w:p>
            <w:pPr>
              <w:pStyle w:val="Compact"/>
            </w:pPr>
            <w:r>
              <w:t xml:space="preserve">5 (acima disso, objeto)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Aninhamento</w:t>
            </w:r>
          </w:p>
        </w:tc>
        <w:tc>
          <w:tcPr/>
          <w:p>
            <w:pPr>
              <w:pStyle w:val="Compact"/>
            </w:pPr>
            <w:r>
              <w:t xml:space="preserve">≤ 2 níveis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lockText"/>
      </w:pPr>
      <w:r>
        <w:t xml:space="preserve">São sinais, não leis. Uma função de 60 linhas que é uma máquina de estados legível é melhor que seis funções que obrigam a saltar de ficheiro em ficheiro.</w:t>
      </w:r>
    </w:p>
    <w:bookmarkEnd w:id="53"/>
    <w:bookmarkStart w:id="54" w:name="retorno-antecipado"/>
    <w:p>
      <w:pPr>
        <w:pStyle w:val="Heading3"/>
      </w:pPr>
      <w:r>
        <w:t xml:space="preserve">3.3 Retorno antecipado</w:t>
      </w:r>
    </w:p>
    <w:p>
      <w:pPr>
        <w:pStyle w:val="SourceCode"/>
      </w:pPr>
      <w:r>
        <w:rPr>
          <w:rStyle w:val="CommentTok"/>
        </w:rPr>
        <w:t xml:space="preserve">// Evitar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valido</w:t>
      </w:r>
      <w:r>
        <w:rPr>
          <w:rStyle w:val="NormalTok"/>
        </w:rPr>
        <w:t xml:space="preserve">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Preferir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'encomenda em falta'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valido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'encomenda invalida'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'estado incorreto'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caminho principal sem aninhamento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tratamento-de-erros"/>
    <w:p>
      <w:pPr>
        <w:pStyle w:val="Heading2"/>
      </w:pPr>
      <w:r>
        <w:t xml:space="preserve">4. Tratamento de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Distinguir erros</w:t>
            </w:r>
          </w:p>
        </w:tc>
        <w:tc>
          <w:tcPr/>
          <w:p>
            <w:pPr>
              <w:pStyle w:val="Compact"/>
            </w:pPr>
            <w:r>
              <w:t xml:space="preserve">Erro de</w:t>
            </w:r>
            <w:r>
              <w:t xml:space="preserve"> </w:t>
            </w:r>
            <w:r>
              <w:rPr>
                <w:b/>
                <w:bCs/>
              </w:rPr>
              <w:t xml:space="preserve">domínio</w:t>
            </w:r>
            <w:r>
              <w:t xml:space="preserve"> </w:t>
            </w:r>
            <w:r>
              <w:t xml:space="preserve">(esperado: stock insuficiente) ≠ erro</w:t>
            </w:r>
            <w:r>
              <w:t xml:space="preserve"> </w:t>
            </w:r>
            <w:r>
              <w:rPr>
                <w:b/>
                <w:bCs/>
              </w:rPr>
              <w:t xml:space="preserve">técnico</w:t>
            </w:r>
            <w:r>
              <w:t xml:space="preserve"> </w:t>
            </w:r>
            <w:r>
              <w:t xml:space="preserve">(inesperado: BD em baixo)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engolir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 {}</w:t>
            </w:r>
            <w:r>
              <w:t xml:space="preserve"> </w:t>
            </w:r>
            <w:r>
              <w:t xml:space="preserve">vazio é proibido; se é seguro ignorar, comenta 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Mensagens incluem o suficiente para diagnosticar, sem dados pessoais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</w:t>
            </w:r>
          </w:p>
        </w:tc>
        <w:tc>
          <w:tcPr/>
          <w:p>
            <w:pPr>
              <w:pStyle w:val="Compact"/>
            </w:pPr>
            <w:r>
              <w:t xml:space="preserve">Converter erros técnicos em erros de aplicação na fronteira da camada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usar exceções para fluxo normal</w:t>
            </w:r>
          </w:p>
        </w:tc>
        <w:tc>
          <w:tcPr/>
          <w:p>
            <w:pPr>
              <w:pStyle w:val="Compact"/>
            </w:pPr>
            <w:r>
              <w:t xml:space="preserve">Um resultado esperado não é uma exceção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Erro de dominio: parte do contrato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StockInsuficiente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ErroDominio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pedido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disponivel)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`Stock insuficiente para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pedido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pedido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disponível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disponivel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codigo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'STOCK_INSUFICIENTE'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dados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pedido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disponivel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comentários"/>
    <w:p>
      <w:pPr>
        <w:pStyle w:val="Heading2"/>
      </w:pPr>
      <w:r>
        <w:t xml:space="preserve">5. Comentários</w:t>
      </w:r>
    </w:p>
    <w:p>
      <w:pPr>
        <w:pStyle w:val="FirstParagraph"/>
      </w:pPr>
      <w:r>
        <w:rPr>
          <w:b/>
          <w:bCs/>
        </w:rPr>
        <w:t xml:space="preserve">Comenta 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porquê</w:t>
      </w:r>
      <w:r>
        <w:rPr>
          <w:b/>
          <w:bCs/>
        </w:rPr>
        <w:t xml:space="preserve">, nunca 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quê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// Mau — repete o código</w:t>
      </w:r>
      <w:r>
        <w:br/>
      </w:r>
      <w:r>
        <w:rPr>
          <w:rStyle w:val="CommentTok"/>
        </w:rPr>
        <w:t xml:space="preserve">// incrementa o contador</w:t>
      </w:r>
      <w:r>
        <w:br/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++</w:t>
      </w:r>
      <w:r>
        <w:br/>
      </w:r>
      <w:r>
        <w:br/>
      </w:r>
      <w:r>
        <w:rPr>
          <w:rStyle w:val="CommentTok"/>
        </w:rPr>
        <w:t xml:space="preserve">// Bom — explica uma decisão não óbvia</w:t>
      </w:r>
      <w:r>
        <w:br/>
      </w:r>
      <w:r>
        <w:rPr>
          <w:rStyle w:val="CommentTok"/>
        </w:rPr>
        <w:t xml:space="preserve">// O ERP rejeita silenciosamente lotes &gt; 100; dividimos para garantir</w:t>
      </w:r>
      <w:r>
        <w:br/>
      </w:r>
      <w:r>
        <w:rPr>
          <w:rStyle w:val="CommentTok"/>
        </w:rPr>
        <w:t xml:space="preserve">// que nenhuma encomenda se perde (ver incidente INC-2026-014).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LOTE_MAX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Marcador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TODO(#1234):</w:t>
            </w:r>
          </w:p>
        </w:tc>
        <w:tc>
          <w:tcPr/>
          <w:p>
            <w:pPr>
              <w:pStyle w:val="Compact"/>
            </w:pPr>
            <w:r>
              <w:t xml:space="preserve">Trabalho pendente</w:t>
            </w:r>
            <w:r>
              <w:t xml:space="preserve"> </w:t>
            </w:r>
            <w:r>
              <w:rPr>
                <w:b/>
                <w:bCs/>
              </w:rPr>
              <w:t xml:space="preserve">com issue associada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FIXME(#1234):</w:t>
            </w:r>
          </w:p>
        </w:tc>
        <w:tc>
          <w:tcPr/>
          <w:p>
            <w:pPr>
              <w:pStyle w:val="Compact"/>
            </w:pPr>
            <w:r>
              <w:t xml:space="preserve">Problema conhecido a corrigir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HACK(#1234):</w:t>
            </w:r>
          </w:p>
        </w:tc>
        <w:tc>
          <w:tcPr/>
          <w:p>
            <w:pPr>
              <w:pStyle w:val="Compact"/>
            </w:pPr>
            <w:r>
              <w:t xml:space="preserve">Solução deliberadamente imperfeita, com justificação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NOTE:</w:t>
            </w:r>
          </w:p>
        </w:tc>
        <w:tc>
          <w:tcPr/>
          <w:p>
            <w:pPr>
              <w:pStyle w:val="Compact"/>
            </w:pPr>
            <w:r>
              <w:t xml:space="preserve">Contexto importante para quem ler a seguir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TODO</w:t>
      </w:r>
      <w:r>
        <w:t xml:space="preserve"> </w:t>
      </w:r>
      <w:r>
        <w:t xml:space="preserve">sem número de issue é rejeitado pelo linter.</w:t>
      </w:r>
    </w:p>
    <w:p>
      <w:r>
        <w:pict>
          <v:rect style="width:0;height:1.5pt" o:hralign="center" o:hrstd="t" o:hr="t"/>
        </w:pict>
      </w:r>
    </w:p>
    <w:bookmarkEnd w:id="57"/>
    <w:bookmarkStart w:id="58" w:name="segurança-no-código"/>
    <w:p>
      <w:pPr>
        <w:pStyle w:val="Heading2"/>
      </w:pPr>
      <w:r>
        <w:t xml:space="preserve">6. Segurança no código</w:t>
      </w:r>
    </w:p>
    <w:p>
      <w:pPr>
        <w:pStyle w:val="Compact"/>
        <w:numPr>
          <w:ilvl w:val="0"/>
          <w:numId w:val="1002"/>
        </w:numPr>
      </w:pPr>
      <w:r>
        <w:t xml:space="preserve">Toda a entrada externa é validada na fronteira, com esquema explícito</w:t>
      </w:r>
    </w:p>
    <w:p>
      <w:pPr>
        <w:pStyle w:val="Compact"/>
        <w:numPr>
          <w:ilvl w:val="0"/>
          <w:numId w:val="1003"/>
        </w:numPr>
      </w:pPr>
      <w:r>
        <w:t xml:space="preserve">Consultas parametrizadas —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concatenar SQL</w:t>
      </w:r>
    </w:p>
    <w:p>
      <w:pPr>
        <w:pStyle w:val="Compact"/>
        <w:numPr>
          <w:ilvl w:val="0"/>
          <w:numId w:val="1004"/>
        </w:numPr>
      </w:pPr>
      <w:r>
        <w:t xml:space="preserve">Autorização verificada no servidor, em cada operação (nunca só na interface)</w:t>
      </w:r>
    </w:p>
    <w:p>
      <w:pPr>
        <w:pStyle w:val="Compact"/>
        <w:numPr>
          <w:ilvl w:val="0"/>
          <w:numId w:val="1005"/>
        </w:numPr>
      </w:pPr>
      <w:r>
        <w:t xml:space="preserve">Segredos vêm de variáveis de ambiente/cofre; nunca no código nem em registos</w:t>
      </w:r>
    </w:p>
    <w:p>
      <w:pPr>
        <w:pStyle w:val="Compact"/>
        <w:numPr>
          <w:ilvl w:val="0"/>
          <w:numId w:val="1006"/>
        </w:numPr>
      </w:pPr>
      <w:r>
        <w:t xml:space="preserve">Saída escapada conforme o contexto (HTML, atributo, URL, SQL)</w:t>
      </w:r>
    </w:p>
    <w:p>
      <w:pPr>
        <w:pStyle w:val="Compact"/>
        <w:numPr>
          <w:ilvl w:val="0"/>
          <w:numId w:val="1007"/>
        </w:numPr>
      </w:pPr>
      <w:r>
        <w:t xml:space="preserve">Dados pessoais nunca em registos, mensagens de erro ou URLs</w:t>
      </w:r>
    </w:p>
    <w:p>
      <w:pPr>
        <w:pStyle w:val="Compact"/>
        <w:numPr>
          <w:ilvl w:val="0"/>
          <w:numId w:val="1008"/>
        </w:numPr>
      </w:pPr>
      <w:r>
        <w:t xml:space="preserve">Dependências novas justificadas (peso, manutenção, licença, transitivas)</w:t>
      </w:r>
    </w:p>
    <w:p>
      <w:pPr>
        <w:pStyle w:val="Compact"/>
        <w:numPr>
          <w:ilvl w:val="0"/>
          <w:numId w:val="1009"/>
        </w:numPr>
      </w:pPr>
      <w:r>
        <w:t xml:space="preserve">Aleatoriedade criptográfica onde há impacto de segurança</w:t>
      </w:r>
    </w:p>
    <w:p>
      <w:pPr>
        <w:pStyle w:val="Compact"/>
        <w:numPr>
          <w:ilvl w:val="0"/>
          <w:numId w:val="1010"/>
        </w:numPr>
      </w:pPr>
      <w:r>
        <w:t xml:space="preserve">Comparação de segredos em tempo constante</w:t>
      </w:r>
    </w:p>
    <w:p>
      <w:r>
        <w:pict>
          <v:rect style="width:0;height:1.5pt" o:hralign="center" o:hrstd="t" o:hr="t"/>
        </w:pict>
      </w:r>
    </w:p>
    <w:bookmarkEnd w:id="58"/>
    <w:bookmarkStart w:id="59" w:name="assíncrono-e-concorrência"/>
    <w:p>
      <w:pPr>
        <w:pStyle w:val="Heading2"/>
      </w:pPr>
      <w:r>
        <w:t xml:space="preserve">7. Assíncrono e concorrência</w:t>
      </w:r>
    </w:p>
    <w:p>
      <w:pPr>
        <w:pStyle w:val="Compact"/>
        <w:numPr>
          <w:ilvl w:val="0"/>
          <w:numId w:val="1011"/>
        </w:numPr>
      </w:pPr>
      <w:r>
        <w:t xml:space="preserve">Timeout explícito em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chamadas de rede — sem exceção.</w:t>
      </w:r>
    </w:p>
    <w:p>
      <w:pPr>
        <w:pStyle w:val="Compact"/>
        <w:numPr>
          <w:ilvl w:val="0"/>
          <w:numId w:val="1011"/>
        </w:numPr>
      </w:pPr>
      <w:r>
        <w:t xml:space="preserve">Retentativas apenas em operações idempotentes, com backoff exponencial</w:t>
      </w:r>
      <w:r>
        <w:t xml:space="preserve"> </w:t>
      </w:r>
      <w:r>
        <w:rPr>
          <w:b/>
          <w:bCs/>
        </w:rPr>
        <w:t xml:space="preserve">e jitter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dentro de ciclos quando as operações são independentes — paralelizar com limite de concorrência.</w:t>
      </w:r>
    </w:p>
    <w:p>
      <w:pPr>
        <w:pStyle w:val="Compact"/>
        <w:numPr>
          <w:ilvl w:val="0"/>
          <w:numId w:val="1011"/>
        </w:numPr>
      </w:pPr>
      <w:r>
        <w:t xml:space="preserve">Cancelamento propagado (</w:t>
      </w:r>
      <w:r>
        <w:rPr>
          <w:rStyle w:val="VerbatimChar"/>
        </w:rPr>
        <w:t xml:space="preserve">AbortSignal</w:t>
      </w:r>
      <w:r>
        <w:t xml:space="preserve"> </w:t>
      </w:r>
      <w:r>
        <w:t xml:space="preserve">ou equivalente).</w:t>
      </w:r>
    </w:p>
    <w:p>
      <w:pPr>
        <w:pStyle w:val="Compact"/>
        <w:numPr>
          <w:ilvl w:val="0"/>
          <w:numId w:val="1011"/>
        </w:numPr>
      </w:pPr>
      <w:r>
        <w:t xml:space="preserve">Escritas concorrentes protegidas por bloqueio otimista (coluna</w:t>
      </w:r>
      <w:r>
        <w:t xml:space="preserve"> </w:t>
      </w:r>
      <w:r>
        <w:rPr>
          <w:rStyle w:val="VerbatimChar"/>
        </w:rPr>
        <w:t xml:space="preserve">versao</w:t>
      </w:r>
      <w:r>
        <w:t xml:space="preserve">) ou transação adequada.</w:t>
      </w:r>
    </w:p>
    <w:p>
      <w:r>
        <w:pict>
          <v:rect style="width:0;height:1.5pt" o:hralign="center" o:hrstd="t" o:hr="t"/>
        </w:pict>
      </w:r>
    </w:p>
    <w:bookmarkEnd w:id="59"/>
    <w:bookmarkStart w:id="61" w:name="testes"/>
    <w:p>
      <w:pPr>
        <w:pStyle w:val="Heading2"/>
      </w:pPr>
      <w:r>
        <w:t xml:space="preserve">8. Testes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Descreve o comportamento:</w:t>
            </w:r>
            <w:r>
              <w:t xml:space="preserve"> </w:t>
            </w:r>
            <w:r>
              <w:rPr>
                <w:rStyle w:val="VerbatimChar"/>
              </w:rPr>
              <w:t xml:space="preserve">deve rejeitar encomenda sem linhas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Arrange · Act · Assert, separados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Sem ordem entre testes; sem estado partilhado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Determinismo</w:t>
            </w:r>
          </w:p>
        </w:tc>
        <w:tc>
          <w:tcPr/>
          <w:p>
            <w:pPr>
              <w:pStyle w:val="Compact"/>
            </w:pP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real, sem aleatoriedade, sem rede — injetar relógio e dependências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Testar comportamento observável, não 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Duplicados</w:t>
            </w:r>
          </w:p>
        </w:tc>
        <w:tc>
          <w:tcPr/>
          <w:p>
            <w:pPr>
              <w:pStyle w:val="Compact"/>
            </w:pPr>
            <w:r>
              <w:t xml:space="preserve">Um teste por comportamento; não repetir o mesmo caso em vários níveis</w:t>
            </w:r>
          </w:p>
        </w:tc>
      </w:tr>
    </w:tbl>
    <w:p>
      <w:pPr>
        <w:pStyle w:val="BlockText"/>
      </w:pPr>
      <w:r>
        <w:t xml:space="preserve">Ver</w:t>
      </w:r>
      <w:r>
        <w:t xml:space="preserve"> </w:t>
      </w:r>
      <w:hyperlink r:id="rId60">
        <w:r>
          <w:rPr>
            <w:rStyle w:val="Hyperlink"/>
          </w:rPr>
          <w:t xml:space="preserve">Plano de Testes</w:t>
        </w:r>
      </w:hyperlink>
    </w:p>
    <w:p>
      <w:r>
        <w:pict>
          <v:rect style="width:0;height:1.5pt" o:hralign="center" o:hrstd="t" o:hr="t"/>
        </w:pict>
      </w:r>
    </w:p>
    <w:bookmarkEnd w:id="61"/>
    <w:bookmarkStart w:id="62" w:name="registo-logging"/>
    <w:p>
      <w:pPr>
        <w:pStyle w:val="Heading2"/>
      </w:pPr>
      <w:r>
        <w:t xml:space="preserve">9. Registo (logging)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"2026-08-20T14:30:00Z"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"4bf92f..."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"encomenda_aprovada"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"encomenda_id"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"018f2b..."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"total_cents"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750000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"duracao_ms"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Falha que exige intervenção</w:t>
            </w:r>
          </w:p>
        </w:tc>
        <w:tc>
          <w:tcPr/>
          <w:p>
            <w:pPr>
              <w:pStyle w:val="Compact"/>
            </w:pPr>
            <w:r>
              <w:t xml:space="preserve">BD inacessível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Anomalia recuperada</w:t>
            </w:r>
          </w:p>
        </w:tc>
        <w:tc>
          <w:tcPr/>
          <w:p>
            <w:pPr>
              <w:pStyle w:val="Compact"/>
            </w:pPr>
            <w:r>
              <w:t xml:space="preserve">Retentativa bem-sucedida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Evento de negócio relevante</w:t>
            </w:r>
          </w:p>
        </w:tc>
        <w:tc>
          <w:tcPr/>
          <w:p>
            <w:pPr>
              <w:pStyle w:val="Compact"/>
            </w:pPr>
            <w:r>
              <w:t xml:space="preserve">Encomenda aprovada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Diagnóstico (não em produção por omissão)</w:t>
            </w:r>
          </w:p>
        </w:tc>
        <w:tc>
          <w:tcPr/>
          <w:p>
            <w:pPr>
              <w:pStyle w:val="Compact"/>
            </w:pPr>
            <w:r>
              <w:t xml:space="preserve">Payload de pedido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registar:</w:t>
      </w:r>
      <w:r>
        <w:t xml:space="preserve"> </w:t>
      </w:r>
      <w:r>
        <w:t xml:space="preserve">palavras-passe, tokens, números de cartão, dados pessoais em claro, payloads completos com dados de clientes.</w:t>
      </w:r>
    </w:p>
    <w:p>
      <w:r>
        <w:pict>
          <v:rect style="width:0;height:1.5pt" o:hralign="center" o:hrstd="t" o:hr="t"/>
        </w:pict>
      </w:r>
    </w:p>
    <w:bookmarkEnd w:id="62"/>
    <w:bookmarkStart w:id="63" w:name="desempenho"/>
    <w:p>
      <w:pPr>
        <w:pStyle w:val="Heading2"/>
      </w:pPr>
      <w:r>
        <w:t xml:space="preserve">10. Desempenho</w:t>
      </w:r>
    </w:p>
    <w:p>
      <w:pPr>
        <w:pStyle w:val="Compact"/>
        <w:numPr>
          <w:ilvl w:val="0"/>
          <w:numId w:val="1012"/>
        </w:numPr>
      </w:pPr>
      <w:r>
        <w:t xml:space="preserve">Medir antes de otimizar; incluir o número na descrição do PR.</w:t>
      </w:r>
    </w:p>
    <w:p>
      <w:pPr>
        <w:pStyle w:val="Compact"/>
        <w:numPr>
          <w:ilvl w:val="0"/>
          <w:numId w:val="1012"/>
        </w:numPr>
      </w:pPr>
      <w:r>
        <w:t xml:space="preserve">Evitar N+1 — carregar em lote.</w:t>
      </w:r>
    </w:p>
    <w:p>
      <w:pPr>
        <w:pStyle w:val="Compact"/>
        <w:numPr>
          <w:ilvl w:val="0"/>
          <w:numId w:val="1012"/>
        </w:numPr>
      </w:pPr>
      <w:r>
        <w:t xml:space="preserve">Paginar sempre listagens; nunca devolver coleções sem limite.</w:t>
      </w:r>
    </w:p>
    <w:p>
      <w:pPr>
        <w:pStyle w:val="Compact"/>
        <w:numPr>
          <w:ilvl w:val="0"/>
          <w:numId w:val="1012"/>
        </w:numPr>
      </w:pPr>
      <w:r>
        <w:t xml:space="preserve">Cache com invalidação pensada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 introduzir; caso contrário não a introduzas.</w:t>
      </w:r>
    </w:p>
    <w:p>
      <w:pPr>
        <w:pStyle w:val="Compact"/>
        <w:numPr>
          <w:ilvl w:val="0"/>
          <w:numId w:val="1012"/>
        </w:numPr>
      </w:pPr>
      <w:r>
        <w:t xml:space="preserve">Ficheiros grandes em streaming, nunca inteiros em memória.</w:t>
      </w:r>
    </w:p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0" Target="../01-requisitos/06-glossario.md" TargetMode="External" /><Relationship Type="http://schemas.openxmlformats.org/officeDocument/2006/relationships/hyperlink" Id="rId60" Target="../05-qualidade/01-plano-tes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01-requisitos/06-glossario.md" TargetMode="External" /><Relationship Type="http://schemas.openxmlformats.org/officeDocument/2006/relationships/hyperlink" Id="rId60" Target="../05-qualidade/01-plano-tes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Padrões de Código — {{PROJETO}}</dc:title>
  <dc:creator/>
  <dc:language>pt-PT</dc:language>
  <cp:keywords/>
  <dcterms:created xsi:type="dcterms:W3CDTF">2026-08-24T14:49:07Z</dcterms:created>
  <dcterms:modified xsi:type="dcterms:W3CDTF">2026-08-24T14:49:07Z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