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Política e Documentação de Segurança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Ficheiro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na raiz do repositório deve apontar para aqui (ou conter a secção 1).</w:t>
      </w:r>
    </w:p>
    <w:p>
      <w:r>
        <w:pict>
          <v:rect style="width:0;height:1.5pt" o:hralign="center" o:hrstd="t" o:hr="t"/>
        </w:pict>
      </w:r>
    </w:p>
    <w:bookmarkStart w:id="49" w:name="reporte-de-vulnerabilidades"/>
    <w:p>
      <w:pPr>
        <w:pStyle w:val="Heading2"/>
      </w:pPr>
      <w:r>
        <w:t xml:space="preserve">1. Reporte de vulnerabilidades</w:t>
      </w:r>
    </w:p>
    <w:p>
      <w:pPr>
        <w:pStyle w:val="FirstParagraph"/>
      </w:pPr>
      <w:r>
        <w:rPr>
          <w:b/>
          <w:bCs/>
        </w:rPr>
        <w:t xml:space="preserve">Não abras uma issue pública para vulnerabilidades de segurança.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{{security@{{dominio}}}}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PGP</w:t>
            </w:r>
          </w:p>
        </w:tc>
        <w:tc>
          <w:tcPr/>
          <w:p>
            <w:pPr>
              <w:pStyle w:val="Compact"/>
            </w:pPr>
            <w:r>
              <w:t xml:space="preserve">{{impressão digital / 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 inicial</w:t>
            </w:r>
          </w:p>
        </w:tc>
        <w:tc>
          <w:tcPr/>
          <w:p>
            <w:pPr>
              <w:pStyle w:val="Compact"/>
            </w:pPr>
            <w:r>
              <w:t xml:space="preserve">≤ {{48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e plano</w:t>
            </w:r>
          </w:p>
        </w:tc>
        <w:tc>
          <w:tcPr/>
          <w:p>
            <w:pPr>
              <w:pStyle w:val="Compact"/>
            </w:pPr>
            <w:r>
              <w:t xml:space="preserve">≤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Divulgação coordenada</w:t>
            </w:r>
          </w:p>
        </w:tc>
        <w:tc>
          <w:tcPr/>
          <w:p>
            <w:pPr>
              <w:pStyle w:val="Compact"/>
            </w:pPr>
            <w:r>
              <w:t xml:space="preserve">{{90 dias ou após correção}}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Ao reportar, inclui:</w:t>
      </w:r>
      <w:r>
        <w:t xml:space="preserve"> </w:t>
      </w:r>
      <w:r>
        <w:t xml:space="preserve">descrição, passos de reprodução, impacto potencial, versão afetada e prova de conceito se existir.</w:t>
      </w:r>
    </w:p>
    <w:p>
      <w:pPr>
        <w:pStyle w:val="BodyText"/>
      </w:pPr>
      <w:r>
        <w:rPr>
          <w:b/>
          <w:bCs/>
        </w:rPr>
        <w:t xml:space="preserve">Compromisso:</w:t>
      </w:r>
      <w:r>
        <w:t xml:space="preserve"> </w:t>
      </w:r>
      <w:r>
        <w:t xml:space="preserve">não tomamos ação legal contra investigação de boa-fé que respeite os limites abaixo.</w:t>
      </w:r>
      <w:r>
        <w:t xml:space="preserve"> </w:t>
      </w:r>
      <w:r>
        <w:rPr>
          <w:b/>
          <w:bCs/>
        </w:rPr>
        <w:t xml:space="preserve">Fora de âmbito:</w:t>
      </w:r>
      <w:r>
        <w:t xml:space="preserve"> </w:t>
      </w:r>
      <w:r>
        <w:t xml:space="preserve">{{ataques de negação de serviço, engenharia social, ataques físicos, relatórios automáticos de scanners sem impacto demonstrado}}.</w:t>
      </w:r>
    </w:p>
    <w:p>
      <w:r>
        <w:pict>
          <v:rect style="width:0;height:1.5pt" o:hralign="center" o:hrstd="t" o:hr="t"/>
        </w:pict>
      </w:r>
    </w:p>
    <w:bookmarkEnd w:id="49"/>
    <w:bookmarkStart w:id="57" w:name="modelo-de-ameaças"/>
    <w:p>
      <w:pPr>
        <w:pStyle w:val="Heading2"/>
      </w:pPr>
      <w:r>
        <w:t xml:space="preserve">2. Modelo de ameaças</w:t>
      </w:r>
    </w:p>
    <w:bookmarkStart w:id="50" w:name="ativos-a-proteger"/>
    <w:p>
      <w:pPr>
        <w:pStyle w:val="Heading3"/>
      </w:pPr>
      <w:r>
        <w:t xml:space="preserve">2.1 Ativos a proteger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Impacto se comprometido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pessoais de clientes}}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{{Notificação à CNPD, coima, perda de confiança}}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{{Credenciais de acesso}}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{{Acesso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comerciais (preços, margens)}}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{{Vantagem para a concorrência}}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{{Disponibilidade do serviço}}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{{Perda de receita}}</w:t>
            </w:r>
          </w:p>
        </w:tc>
      </w:tr>
    </w:tbl>
    <w:bookmarkEnd w:id="50"/>
    <w:bookmarkStart w:id="51" w:name="agentes-de-ameaça"/>
    <w:p>
      <w:pPr>
        <w:pStyle w:val="Heading3"/>
      </w:pPr>
      <w:r>
        <w:t xml:space="preserve">2.2 Agentes de ameaça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externo oportunista</w:t>
            </w:r>
          </w:p>
        </w:tc>
        <w:tc>
          <w:tcPr/>
          <w:p>
            <w:pPr>
              <w:pStyle w:val="Compact"/>
            </w:pPr>
            <w:r>
              <w:t xml:space="preserve">Ganho financeiro</w:t>
            </w:r>
          </w:p>
        </w:tc>
        <w:tc>
          <w:tcPr/>
          <w:p>
            <w:pPr>
              <w:pStyle w:val="Compact"/>
            </w:pPr>
            <w:r>
              <w:t xml:space="preserve">Baixa (ferramentas automáticas)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direcionado</w:t>
            </w:r>
          </w:p>
        </w:tc>
        <w:tc>
          <w:tcPr/>
          <w:p>
            <w:pPr>
              <w:pStyle w:val="Compact"/>
            </w:pPr>
            <w:r>
              <w:t xml:space="preserve">{{Espionagem, ransomware}}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legítimo malicioso</w:t>
            </w:r>
          </w:p>
        </w:tc>
        <w:tc>
          <w:tcPr/>
          <w:p>
            <w:pPr>
              <w:pStyle w:val="Compact"/>
            </w:pPr>
            <w:r>
              <w:t xml:space="preserve">{{Exfiltrar dados de clientes}}</w:t>
            </w:r>
          </w:p>
        </w:tc>
        <w:tc>
          <w:tcPr/>
          <w:p>
            <w:pPr>
              <w:pStyle w:val="Compact"/>
            </w:pPr>
            <w:r>
              <w:t xml:space="preserve">Média (acesso legítimo)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interno não malicioso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comprometido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bookmarkEnd w:id="51"/>
    <w:bookmarkStart w:id="52" w:name="stride"/>
    <w:p>
      <w:pPr>
        <w:pStyle w:val="Heading3"/>
      </w:pPr>
      <w:r>
        <w:t xml:space="preserve">2.3 STRIDE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 neste sistema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Fazer-se passar por outro</w:t>
            </w:r>
          </w:p>
        </w:tc>
        <w:tc>
          <w:tcPr/>
          <w:p>
            <w:pPr>
              <w:pStyle w:val="Compact"/>
            </w:pPr>
            <w:r>
              <w:t xml:space="preserve">{{Roubo de sessão}}</w:t>
            </w:r>
          </w:p>
        </w:tc>
        <w:tc>
          <w:tcPr/>
          <w:p>
            <w:pPr>
              <w:pStyle w:val="Compact"/>
            </w:pPr>
            <w:r>
              <w:t xml:space="preserve">{{OIDC, cookies HttpOnly+Secure, MFA para admin}}</w:t>
            </w:r>
          </w:p>
        </w:tc>
        <w:tc>
          <w:tcPr/>
          <w:p>
            <w:pPr>
              <w:pStyle w:val="Compact"/>
            </w:pPr>
            <w:r>
              <w:t xml:space="preserve">RNF-13,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Alterar dados</w:t>
            </w:r>
          </w:p>
        </w:tc>
        <w:tc>
          <w:tcPr/>
          <w:p>
            <w:pPr>
              <w:pStyle w:val="Compact"/>
            </w:pPr>
            <w:r>
              <w:t xml:space="preserve">{{Manipular o total no cliente}}</w:t>
            </w:r>
          </w:p>
        </w:tc>
        <w:tc>
          <w:tcPr/>
          <w:p>
            <w:pPr>
              <w:pStyle w:val="Compact"/>
            </w:pPr>
            <w:r>
              <w:t xml:space="preserve">{{Preços calculados no servidor; assinatura de payloads}}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Negar ter feito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fui eu que aprovei”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{{Auditoria imutável com autor e timestamp}}</w:t>
            </w:r>
          </w:p>
        </w:tc>
        <w:tc>
          <w:tcPr/>
          <w:p>
            <w:pPr>
              <w:pStyle w:val="Compact"/>
            </w:pPr>
            <w:r>
              <w:t xml:space="preserve">RNF-15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Fuga de informação</w:t>
            </w:r>
          </w:p>
        </w:tc>
        <w:tc>
          <w:tcPr/>
          <w:p>
            <w:pPr>
              <w:pStyle w:val="Compact"/>
            </w:pPr>
            <w:r>
              <w:t xml:space="preserve">{{Aceder a encomendas de outro tenant}}</w:t>
            </w:r>
          </w:p>
        </w:tc>
        <w:tc>
          <w:tcPr/>
          <w:p>
            <w:pPr>
              <w:pStyle w:val="Compact"/>
            </w:pPr>
            <w:r>
              <w:t xml:space="preserve">{{RLS, autorização por objeto, testes de isolamento}}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Indisponibilizar</w:t>
            </w:r>
          </w:p>
        </w:tc>
        <w:tc>
          <w:tcPr/>
          <w:p>
            <w:pPr>
              <w:pStyle w:val="Compact"/>
            </w:pPr>
            <w:r>
              <w:t xml:space="preserve">{{Inundação de pedidos}}</w:t>
            </w:r>
          </w:p>
        </w:tc>
        <w:tc>
          <w:tcPr/>
          <w:p>
            <w:pPr>
              <w:pStyle w:val="Compact"/>
            </w:pPr>
            <w:r>
              <w:t xml:space="preserve">{{Rate limiting, WAF, autoscaling}}</w:t>
            </w:r>
          </w:p>
        </w:tc>
        <w:tc>
          <w:tcPr/>
          <w:p>
            <w:pPr>
              <w:pStyle w:val="Compact"/>
            </w:pPr>
            <w:r>
              <w:t xml:space="preserve">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Ganhar permissões</w:t>
            </w:r>
          </w:p>
        </w:tc>
        <w:tc>
          <w:tcPr/>
          <w:p>
            <w:pPr>
              <w:pStyle w:val="Compact"/>
            </w:pPr>
            <w:r>
              <w:t xml:space="preserve">{{Cliente aprova a própria encomenda}}</w:t>
            </w:r>
          </w:p>
        </w:tc>
        <w:tc>
          <w:tcPr/>
          <w:p>
            <w:pPr>
              <w:pStyle w:val="Compact"/>
            </w:pPr>
            <w:r>
              <w:t xml:space="preserve">{{RBAC no servidor; negação por omissão}}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</w:tbl>
    <w:bookmarkEnd w:id="52"/>
    <w:bookmarkStart w:id="56" w:name="superfície-de-ataque"/>
    <w:p>
      <w:pPr>
        <w:pStyle w:val="Heading3"/>
      </w:pPr>
      <w:r>
        <w:t xml:space="preserve">2.4 Superfície de ataque</w:t>
      </w:r>
    </w:p>
    <w:p>
      <w:pPr>
        <w:pStyle w:val="FirstParagraph"/>
      </w:pPr>
      <w:r>
        <w:drawing>
          <wp:inline>
            <wp:extent cx="6191999" cy="380933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ou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80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entrada</w:t>
            </w:r>
          </w:p>
        </w:tc>
        <w:tc>
          <w:tcPr/>
          <w:p>
            <w:pPr>
              <w:pStyle w:val="Compact"/>
            </w:pPr>
            <w: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t xml:space="preserve">Controlos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{{WAF, TLS, autenticação, rate limit, validação de esquema}}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webhooks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{{Verificação de assinatura HMAC + timestamp, lista de IPs}}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de ficheiros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{{Tipo e tamanho validados, antivírus, armazenamento isolado, sem execução}}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administração</w:t>
            </w:r>
          </w:p>
        </w:tc>
        <w:tc>
          <w:tcPr/>
          <w:p>
            <w:pPr>
              <w:pStyle w:val="Compact"/>
            </w:pPr>
            <w:r>
              <w:t xml:space="preserve">{{Internet + MFA}}</w:t>
            </w:r>
          </w:p>
        </w:tc>
        <w:tc>
          <w:tcPr/>
          <w:p>
            <w:pPr>
              <w:pStyle w:val="Compact"/>
            </w:pPr>
            <w:r>
              <w:t xml:space="preserve">{{MFA obrigatório, lista de IPs, sessão curta}}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controlos-implementados"/>
    <w:p>
      <w:pPr>
        <w:pStyle w:val="Heading2"/>
      </w:pPr>
      <w:r>
        <w:t xml:space="preserve">3. Controlos implementados</w:t>
      </w:r>
    </w:p>
    <w:bookmarkStart w:id="58" w:name="identidade-e-acesso"/>
    <w:p>
      <w:pPr>
        <w:pStyle w:val="Heading3"/>
      </w:pPr>
      <w:r>
        <w:t xml:space="preserve">3.1 Identidade e acesso</w:t>
      </w:r>
    </w:p>
    <w:p>
      <w:pPr>
        <w:pStyle w:val="Compact"/>
        <w:numPr>
          <w:ilvl w:val="0"/>
          <w:numId w:val="1001"/>
        </w:numPr>
      </w:pPr>
      <w:r>
        <w:t xml:space="preserve">Autenticação {{via OIDC}}; palavras-passe com {{Argon2id}}</w:t>
      </w:r>
    </w:p>
    <w:p>
      <w:pPr>
        <w:pStyle w:val="Compact"/>
        <w:numPr>
          <w:ilvl w:val="0"/>
          <w:numId w:val="1002"/>
        </w:numPr>
      </w:pPr>
      <w:r>
        <w:t xml:space="preserve">MFA obrigatório para papéis administrativos</w:t>
      </w:r>
    </w:p>
    <w:p>
      <w:pPr>
        <w:pStyle w:val="Compact"/>
        <w:numPr>
          <w:ilvl w:val="0"/>
          <w:numId w:val="1003"/>
        </w:numPr>
      </w:pPr>
      <w:r>
        <w:t xml:space="preserve">RBAC com princípio do menor privilégio; negação por omissão</w:t>
      </w:r>
    </w:p>
    <w:p>
      <w:pPr>
        <w:pStyle w:val="Compact"/>
        <w:numPr>
          <w:ilvl w:val="0"/>
          <w:numId w:val="1004"/>
        </w:numPr>
      </w:pPr>
      <w:r>
        <w:t xml:space="preserve">Autorização verificada</w:t>
      </w:r>
      <w:r>
        <w:t xml:space="preserve"> </w:t>
      </w:r>
      <w:r>
        <w:rPr>
          <w:b/>
          <w:bCs/>
        </w:rPr>
        <w:t xml:space="preserve">no servidor</w:t>
      </w:r>
      <w:r>
        <w:t xml:space="preserve">, por objeto (não só por rota)</w:t>
      </w:r>
    </w:p>
    <w:p>
      <w:pPr>
        <w:pStyle w:val="Compact"/>
        <w:numPr>
          <w:ilvl w:val="0"/>
          <w:numId w:val="1005"/>
        </w:numPr>
      </w:pPr>
      <w:r>
        <w:t xml:space="preserve">Sessões com expiração; invalidação global no logout e na mudança de palavra-passe</w:t>
      </w:r>
    </w:p>
    <w:p>
      <w:pPr>
        <w:pStyle w:val="Compact"/>
        <w:numPr>
          <w:ilvl w:val="0"/>
          <w:numId w:val="1006"/>
        </w:numPr>
      </w:pPr>
      <w:r>
        <w:t xml:space="preserve">Revisão de acessos {{trimestral}}</w:t>
      </w:r>
    </w:p>
    <w:bookmarkEnd w:id="58"/>
    <w:bookmarkStart w:id="59" w:name="dados"/>
    <w:p>
      <w:pPr>
        <w:pStyle w:val="Heading3"/>
      </w:pPr>
      <w:r>
        <w:t xml:space="preserve">3.2 Dados</w:t>
      </w:r>
    </w:p>
    <w:p>
      <w:pPr>
        <w:pStyle w:val="Compact"/>
        <w:numPr>
          <w:ilvl w:val="0"/>
          <w:numId w:val="1007"/>
        </w:numPr>
      </w:pPr>
      <w:r>
        <w:t xml:space="preserve">TLS 1.2+ em trânsito; HSTS com preload</w:t>
      </w:r>
    </w:p>
    <w:p>
      <w:pPr>
        <w:pStyle w:val="Compact"/>
        <w:numPr>
          <w:ilvl w:val="0"/>
          <w:numId w:val="1008"/>
        </w:numPr>
      </w:pPr>
      <w:r>
        <w:t xml:space="preserve">Cifra em repouso (BD, cópias de segurança, object storage)</w:t>
      </w:r>
    </w:p>
    <w:p>
      <w:pPr>
        <w:pStyle w:val="Compact"/>
        <w:numPr>
          <w:ilvl w:val="0"/>
          <w:numId w:val="1009"/>
        </w:numPr>
      </w:pPr>
      <w:r>
        <w:t xml:space="preserve">Chaves geridas em {{KMS}}; rotação {{anual}}</w:t>
      </w:r>
    </w:p>
    <w:p>
      <w:pPr>
        <w:pStyle w:val="Compact"/>
        <w:numPr>
          <w:ilvl w:val="0"/>
          <w:numId w:val="1010"/>
        </w:numPr>
      </w:pPr>
      <w:r>
        <w:t xml:space="preserve">Dados sensíveis nunca em registos, URLs ou mensagens de erro</w:t>
      </w:r>
    </w:p>
    <w:p>
      <w:pPr>
        <w:pStyle w:val="Compact"/>
        <w:numPr>
          <w:ilvl w:val="0"/>
          <w:numId w:val="1011"/>
        </w:numPr>
      </w:pPr>
      <w:r>
        <w:t xml:space="preserve">Anonimização irreversível em ambientes não produtivos</w:t>
      </w:r>
    </w:p>
    <w:bookmarkEnd w:id="59"/>
    <w:bookmarkStart w:id="60" w:name="aplicação"/>
    <w:p>
      <w:pPr>
        <w:pStyle w:val="Heading3"/>
      </w:pPr>
      <w:r>
        <w:t xml:space="preserve">3.3 Aplicação</w:t>
      </w:r>
    </w:p>
    <w:p>
      <w:pPr>
        <w:pStyle w:val="Compact"/>
        <w:numPr>
          <w:ilvl w:val="0"/>
          <w:numId w:val="1012"/>
        </w:numPr>
      </w:pPr>
      <w:r>
        <w:t xml:space="preserve">Validação de entrada por esquema, na fronteira</w:t>
      </w:r>
    </w:p>
    <w:p>
      <w:pPr>
        <w:pStyle w:val="Compact"/>
        <w:numPr>
          <w:ilvl w:val="0"/>
          <w:numId w:val="1013"/>
        </w:numPr>
      </w:pPr>
      <w:r>
        <w:t xml:space="preserve">Consultas parametrizadas (sem concatenação de SQL)</w:t>
      </w:r>
    </w:p>
    <w:p>
      <w:pPr>
        <w:pStyle w:val="Compact"/>
        <w:numPr>
          <w:ilvl w:val="0"/>
          <w:numId w:val="1014"/>
        </w:numPr>
      </w:pPr>
      <w:r>
        <w:t xml:space="preserve">Escape contextual na saída</w:t>
      </w:r>
    </w:p>
    <w:p>
      <w:pPr>
        <w:pStyle w:val="Compact"/>
        <w:numPr>
          <w:ilvl w:val="0"/>
          <w:numId w:val="1015"/>
        </w:numPr>
      </w:pPr>
      <w:r>
        <w:t xml:space="preserve">Proteção CSRF {{(SameSite + token)}}</w:t>
      </w:r>
    </w:p>
    <w:p>
      <w:pPr>
        <w:pStyle w:val="Compact"/>
        <w:numPr>
          <w:ilvl w:val="0"/>
          <w:numId w:val="1016"/>
        </w:numPr>
      </w:pPr>
      <w:r>
        <w:t xml:space="preserve">Cabeçalhos de segurança:</w:t>
      </w:r>
      <w:r>
        <w:t xml:space="preserve"> </w:t>
      </w:r>
      <w:r>
        <w:rPr>
          <w:rStyle w:val="VerbatimChar"/>
        </w:rPr>
        <w:t xml:space="preserve">CSP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</w:p>
    <w:p>
      <w:pPr>
        <w:pStyle w:val="Compact"/>
        <w:numPr>
          <w:ilvl w:val="0"/>
          <w:numId w:val="1017"/>
        </w:numPr>
      </w:pPr>
      <w:r>
        <w:t xml:space="preserve">Rate limiting por IP e por conta</w:t>
      </w:r>
    </w:p>
    <w:p>
      <w:pPr>
        <w:pStyle w:val="Compact"/>
        <w:numPr>
          <w:ilvl w:val="0"/>
          <w:numId w:val="1018"/>
        </w:numPr>
      </w:pPr>
      <w:r>
        <w:t xml:space="preserve">Dependências analisadas no CI; críticas corrigidas em ≤ {{7}} dias</w:t>
      </w:r>
    </w:p>
    <w:p>
      <w:pPr>
        <w:pStyle w:val="Compact"/>
        <w:numPr>
          <w:ilvl w:val="0"/>
          <w:numId w:val="1019"/>
        </w:numPr>
      </w:pPr>
      <w:r>
        <w:t xml:space="preserve">Sem segredos no repositório (verificação automática no CI)</w:t>
      </w:r>
    </w:p>
    <w:bookmarkEnd w:id="60"/>
    <w:bookmarkStart w:id="61" w:name="infraestrutura"/>
    <w:p>
      <w:pPr>
        <w:pStyle w:val="Heading3"/>
      </w:pPr>
      <w:r>
        <w:t xml:space="preserve">3.4 Infraestrutura</w:t>
      </w:r>
    </w:p>
    <w:p>
      <w:pPr>
        <w:pStyle w:val="Compact"/>
        <w:numPr>
          <w:ilvl w:val="0"/>
          <w:numId w:val="1020"/>
        </w:numPr>
      </w:pPr>
      <w:r>
        <w:t xml:space="preserve">Segmentação de rede; base de dados sem acesso público</w:t>
      </w:r>
    </w:p>
    <w:p>
      <w:pPr>
        <w:pStyle w:val="Compact"/>
        <w:numPr>
          <w:ilvl w:val="0"/>
          <w:numId w:val="1021"/>
        </w:numPr>
      </w:pPr>
      <w:r>
        <w:t xml:space="preserve">Menor privilégio nas identidades de serviço</w:t>
      </w:r>
    </w:p>
    <w:p>
      <w:pPr>
        <w:pStyle w:val="Compact"/>
        <w:numPr>
          <w:ilvl w:val="0"/>
          <w:numId w:val="1022"/>
        </w:numPr>
      </w:pPr>
      <w:r>
        <w:t xml:space="preserve">Imagens de base atualizadas e analisadas</w:t>
      </w:r>
    </w:p>
    <w:p>
      <w:pPr>
        <w:pStyle w:val="Compact"/>
        <w:numPr>
          <w:ilvl w:val="0"/>
          <w:numId w:val="1023"/>
        </w:numPr>
      </w:pPr>
      <w:r>
        <w:t xml:space="preserve">Containers sem privilégios, sistema de ficheiros só de leitura onde possível</w:t>
      </w:r>
    </w:p>
    <w:p>
      <w:pPr>
        <w:pStyle w:val="Compact"/>
        <w:numPr>
          <w:ilvl w:val="0"/>
          <w:numId w:val="1024"/>
        </w:numPr>
      </w:pPr>
      <w:r>
        <w:t xml:space="preserve">Logs de auditoria da infraestrutura ativos e imutáveis</w:t>
      </w:r>
    </w:p>
    <w:bookmarkEnd w:id="61"/>
    <w:bookmarkStart w:id="62" w:name="deteção"/>
    <w:p>
      <w:pPr>
        <w:pStyle w:val="Heading3"/>
      </w:pPr>
      <w:r>
        <w:t xml:space="preserve">3.5 Deteção</w:t>
      </w:r>
    </w:p>
    <w:p>
      <w:pPr>
        <w:pStyle w:val="Compact"/>
        <w:numPr>
          <w:ilvl w:val="0"/>
          <w:numId w:val="1025"/>
        </w:numPr>
      </w:pPr>
      <w:r>
        <w:t xml:space="preserve">Alertas de autenticação anómala (força bruta, geografia improvável)</w:t>
      </w:r>
    </w:p>
    <w:p>
      <w:pPr>
        <w:pStyle w:val="Compact"/>
        <w:numPr>
          <w:ilvl w:val="0"/>
          <w:numId w:val="1026"/>
        </w:numPr>
      </w:pPr>
      <w:r>
        <w:t xml:space="preserve">Alertas de escalada de privilégios</w:t>
      </w:r>
    </w:p>
    <w:p>
      <w:pPr>
        <w:pStyle w:val="Compact"/>
        <w:numPr>
          <w:ilvl w:val="0"/>
          <w:numId w:val="1027"/>
        </w:numPr>
      </w:pPr>
      <w:r>
        <w:t xml:space="preserve">Alertas de exfiltração (volume anómalo de exportações)</w:t>
      </w:r>
    </w:p>
    <w:p>
      <w:pPr>
        <w:pStyle w:val="Compact"/>
        <w:numPr>
          <w:ilvl w:val="0"/>
          <w:numId w:val="1028"/>
        </w:numPr>
      </w:pPr>
      <w:r>
        <w:t xml:space="preserve">Auditoria de acesso a dados pessoais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verificação-owasp-top-10"/>
    <w:p>
      <w:pPr>
        <w:pStyle w:val="Heading2"/>
      </w:pPr>
      <w:r>
        <w:t xml:space="preserve">4. Verificação OWASP Top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Controlo</w:t>
            </w:r>
          </w:p>
        </w:tc>
        <w:tc>
          <w:tcPr/>
          <w:p>
            <w:pPr>
              <w:pStyle w:val="Compact"/>
            </w:pPr>
            <w:r>
              <w:t xml:space="preserve">Testado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Quebra de controlo de acesso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RBAC + testes de isolamento por tenant</w:t>
            </w:r>
          </w:p>
        </w:tc>
        <w:tc>
          <w:tcPr/>
          <w:p>
            <w:pPr>
              <w:pStyle w:val="Compact"/>
            </w:pPr>
            <w:r>
              <w:t xml:space="preserve">TC-{{…}}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Falhas criptográficas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TLS 1.3, AES-256, Argon2id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Consultas parametrizadas, validação de esquema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Desenho inseguro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Modelo de ameaças, revisão de arquitetura</w:t>
            </w:r>
          </w:p>
        </w:tc>
        <w:tc>
          <w:tcPr/>
          <w:p>
            <w:pPr>
              <w:pStyle w:val="Compact"/>
            </w:pPr>
            <w:r>
              <w:t xml:space="preserve">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Má configuração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IaC revista, benchmarks CIS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Componentes vulneráveis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SCA no CI, atualizações mensais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Falhas de identificação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MFA, bloqueio, sessões curtas</w:t>
            </w:r>
          </w:p>
        </w:tc>
        <w:tc>
          <w:tcPr/>
          <w:p>
            <w:pPr>
              <w:pStyle w:val="Compact"/>
            </w:pPr>
            <w:r>
              <w:t xml:space="preserve">TC-003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Falhas de integridade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Assinatura de artefactos, SBOM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Falhas de registo e monitorização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Auditoria imutável, alertas</w:t>
            </w:r>
          </w:p>
        </w:tc>
        <w:tc>
          <w:tcPr/>
          <w:p>
            <w:pPr>
              <w:pStyle w:val="Compact"/>
            </w:pPr>
            <w:r>
              <w:t xml:space="preserve">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Lista branca de destinos, sem redireções seguidas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gestão-de-vulnerabilidades"/>
    <w:p>
      <w:pPr>
        <w:pStyle w:val="Heading2"/>
      </w:pPr>
      <w:r>
        <w:t xml:space="preserve">5. Gestão de vulnerabilidades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 (CVSS)</w:t>
            </w:r>
          </w:p>
        </w:tc>
        <w:tc>
          <w:tcPr/>
          <w:p>
            <w:pPr>
              <w:pStyle w:val="Compact"/>
            </w:pPr>
            <w:r>
              <w:t xml:space="preserve">Prazo de correção</w:t>
            </w:r>
          </w:p>
        </w:tc>
        <w:tc>
          <w:tcPr/>
          <w:p>
            <w:pPr>
              <w:pStyle w:val="Compact"/>
            </w:pPr>
            <w:r>
              <w:t xml:space="preserve">Exceção requer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(9,0–10)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(7,0–8,9)</w:t>
            </w:r>
          </w:p>
        </w:tc>
        <w:tc>
          <w:tcPr/>
          <w:p>
            <w:pPr>
              <w:pStyle w:val="Compact"/>
            </w:pPr>
            <w:r>
              <w:t xml:space="preserve">{{7 dias}}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 (4,0–6,9)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Registo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(&lt; 4,0)</w:t>
            </w:r>
          </w:p>
        </w:tc>
        <w:tc>
          <w:tcPr/>
          <w:p>
            <w:pPr>
              <w:pStyle w:val="Compact"/>
            </w:pPr>
            <w:r>
              <w:t xml:space="preserve">{{Próximo ciclo}}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exceções</w:t>
      </w:r>
      <w:r>
        <w:t xml:space="preserve"> </w:t>
      </w:r>
      <w:r>
        <w:t xml:space="preserve">| # | Vulnerabilidade | Gravidade | Motivo da exceção | Compensação | Prazo | Aprovada por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{{…}} | {{CVE-…}} | Alta | {{Sem correção disponível}} | {{WAF bloqueia o vetor}} | {{data}} | {{Nome}} |</w:t>
      </w:r>
    </w:p>
    <w:p>
      <w:r>
        <w:pict>
          <v:rect style="width:0;height:1.5pt" o:hralign="center" o:hrstd="t" o:hr="t"/>
        </w:pict>
      </w:r>
    </w:p>
    <w:bookmarkEnd w:id="65"/>
    <w:bookmarkStart w:id="67" w:name="resposta-a-incidentes-de-segurança"/>
    <w:p>
      <w:pPr>
        <w:pStyle w:val="Heading2"/>
      </w:pPr>
      <w:r>
        <w:t xml:space="preserve">6. Resposta a incidentes de segurança</w:t>
      </w:r>
    </w:p>
    <w:p>
      <w:pPr>
        <w:pStyle w:val="BlockText"/>
      </w:pPr>
      <w:r>
        <w:t xml:space="preserve">Além do</w:t>
      </w:r>
      <w:r>
        <w:t xml:space="preserve"> </w:t>
      </w:r>
      <w:hyperlink r:id="rId66">
        <w:r>
          <w:rPr>
            <w:rStyle w:val="Hyperlink"/>
          </w:rPr>
          <w:t xml:space="preserve">processo geral de incidentes</w:t>
        </w:r>
      </w:hyperlink>
      <w:r>
        <w:t xml:space="preserve">, um incidente de segurança tem obrigações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Declarar incidente de segurança; nomear IC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Isolar sistemas; revogar credenciais;</w:t>
            </w:r>
            <w:r>
              <w:t xml:space="preserve"> </w:t>
            </w:r>
            <w:r>
              <w:rPr>
                <w:b/>
                <w:bCs/>
              </w:rPr>
              <w:t xml:space="preserve">preservar evidência antes de reiniciar</w:t>
            </w:r>
          </w:p>
        </w:tc>
        <w:tc>
          <w:tcPr/>
          <w:p>
            <w:pPr>
              <w:pStyle w:val="Compact"/>
            </w:pPr>
            <w:r>
              <w:t xml:space="preserve">≤ 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Determinar dados afetados, número de titulares, risco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</w:t>
            </w:r>
          </w:p>
        </w:tc>
        <w:tc>
          <w:tcPr/>
          <w:p>
            <w:pPr>
              <w:pStyle w:val="Compact"/>
            </w:pPr>
            <w:r>
              <w:t xml:space="preserve">{{CNPD}} se houver risco para os titulares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72 h</w:t>
            </w:r>
            <w:r>
              <w:t xml:space="preserve"> </w:t>
            </w:r>
            <w:r>
              <w:t xml:space="preserve">(RGPD art.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 aos titulares</w:t>
            </w:r>
          </w:p>
        </w:tc>
        <w:tc>
          <w:tcPr/>
          <w:p>
            <w:pPr>
              <w:pStyle w:val="Compact"/>
            </w:pPr>
            <w:r>
              <w:t xml:space="preserve">Se risco elevado</w:t>
            </w:r>
          </w:p>
        </w:tc>
        <w:tc>
          <w:tcPr/>
          <w:p>
            <w:pPr>
              <w:pStyle w:val="Compact"/>
            </w:pPr>
            <w:r>
              <w:t xml:space="preserve">Sem demora injustificada (art.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Erradicação e recuperação</w:t>
            </w:r>
          </w:p>
        </w:tc>
        <w:tc>
          <w:tcPr/>
          <w:p>
            <w:pPr>
              <w:pStyle w:val="Compact"/>
            </w:pPr>
            <w:r>
              <w:t xml:space="preserve">Corrigir causa; restabelecer em ambiente limpo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Posterior</w:t>
            </w:r>
          </w:p>
        </w:tc>
        <w:tc>
          <w:tcPr/>
          <w:p>
            <w:pPr>
              <w:pStyle w:val="Compact"/>
            </w:pPr>
            <w:r>
              <w:t xml:space="preserve">Sem culpados; com ações</w:t>
            </w:r>
          </w:p>
        </w:tc>
        <w:tc>
          <w:tcPr/>
          <w:p>
            <w:pPr>
              <w:pStyle w:val="Compact"/>
            </w:pPr>
            <w:r>
              <w:t xml:space="preserve">≤ 5 dias úteis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Contactos:</w:t>
      </w:r>
      <w:r>
        <w:t xml:space="preserve"> </w:t>
      </w:r>
      <w:r>
        <w:t xml:space="preserve">{{CISO}} · {{DPO}} · {{Jurídico}} · {{Seguradora cibernética, apólice n.º}} · {{CNPD}}</w:t>
      </w:r>
    </w:p>
    <w:p>
      <w:r>
        <w:pict>
          <v:rect style="width:0;height:1.5pt" o:hralign="center" o:hrstd="t" o:hr="t"/>
        </w:pict>
      </w:r>
    </w:p>
    <w:bookmarkEnd w:id="67"/>
    <w:bookmarkStart w:id="68" w:name="auditorias-e-certificações"/>
    <w:p>
      <w:pPr>
        <w:pStyle w:val="Heading2"/>
      </w:pPr>
      <w:r>
        <w:t xml:space="preserve">7. Auditorias e certificações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Última</w:t>
            </w:r>
          </w:p>
        </w:tc>
        <w:tc>
          <w:tcPr/>
          <w:p>
            <w:pPr>
              <w:pStyle w:val="Compact"/>
            </w:pPr>
            <w:r>
              <w:t xml:space="preserve">Próxima</w:t>
            </w:r>
          </w:p>
        </w:tc>
        <w:tc>
          <w:tcPr/>
          <w:p>
            <w:pPr>
              <w:pStyle w:val="Compac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externo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acessos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Revisão do modelo de ameaças</w:t>
            </w:r>
          </w:p>
        </w:tc>
        <w:tc>
          <w:tcPr/>
          <w:p>
            <w:pPr>
              <w:pStyle w:val="Compact"/>
            </w:pPr>
            <w:r>
              <w:t xml:space="preserve">{{Anual ou por mudança arquitetural}}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{{Certificação ISO 27001 / SOC 2}}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hyperlink" Id="rId66" Target="../06-operacao/03-incidentes-e-analise-posterio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06-operacao/03-incidentes-e-analise-posteri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e Documentação de Segurança</dc:title>
  <dc:creator/>
  <dc:language>pt-PT</dc:language>
  <cp:keywords/>
  <dcterms:created xsi:type="dcterms:W3CDTF">2026-08-24T14:49:12Z</dcterms:created>
  <dcterms:modified xsi:type="dcterms:W3CDTF">2026-08-24T14:49:12Z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