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Licenças e Componentes de Terceiros — {{PROJETO}}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/>
          <w:bCs/>
        </w:rPr>
        <w:t xml:space="preserve">Data:</w:t>
      </w:r>
      <w:r>
        <w:t xml:space="preserve"> </w:t>
      </w:r>
      <w:r>
        <w:t xml:space="preserve">{{AAAA-MM-DD}} ·</w:t>
      </w:r>
      <w:r>
        <w:t xml:space="preserve"> </w:t>
      </w:r>
      <w:r>
        <w:rPr>
          <w:b/>
          <w:bCs/>
        </w:rPr>
        <w:t xml:space="preserve">Dono:</w:t>
      </w:r>
      <w:r>
        <w:t xml:space="preserve"> </w:t>
      </w:r>
      <w:r>
        <w:t xml:space="preserve">{{nome}} ·</w:t>
      </w:r>
      <w:r>
        <w:t xml:space="preserve"> </w:t>
      </w:r>
      <w:r>
        <w:rPr>
          <w:b/>
          <w:bCs/>
        </w:rPr>
        <w:t xml:space="preserve">Revisão:</w:t>
      </w:r>
      <w:r>
        <w:t xml:space="preserve"> </w:t>
      </w:r>
      <w:r>
        <w:t xml:space="preserve">{{trimestral}}</w:t>
      </w:r>
    </w:p>
    <w:p>
      <w:r>
        <w:pict>
          <v:rect style="width:0;height:1.5pt" o:hralign="center" o:hrstd="t" o:hr="t"/>
        </w:pict>
      </w:r>
    </w:p>
    <w:bookmarkStart w:id="49" w:name="licença-do-próprio-projeto"/>
    <w:p>
      <w:pPr>
        <w:pStyle w:val="Heading2"/>
      </w:pPr>
      <w:r>
        <w:t xml:space="preserve">1. Licença do próprio projeto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Licença</w:t>
            </w:r>
          </w:p>
        </w:tc>
        <w:tc>
          <w:tcPr/>
          <w:p>
            <w:pPr>
              <w:pStyle w:val="Compact"/>
            </w:pPr>
            <w:r>
              <w:t xml:space="preserve">{{MIT / Apache-2.0 / proprietária}}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Titular dos direitos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Ficheiro</w:t>
            </w:r>
          </w:p>
        </w:tc>
        <w:tc>
          <w:tcPr/>
          <w:p>
            <w:pPr>
              <w:pStyle w:val="Compact"/>
            </w:pPr>
            <w:r>
              <w:t xml:space="preserve">{{</w:t>
            </w:r>
            <w:r>
              <w:rPr>
                <w:rStyle w:val="VerbatimChar"/>
              </w:rPr>
              <w:t xml:space="preserve">LICENSE</w:t>
            </w:r>
            <w:r>
              <w:t xml:space="preserve">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Cabeçalho nos ficheiros</w:t>
            </w:r>
          </w:p>
        </w:tc>
        <w:tc>
          <w:tcPr/>
          <w:p>
            <w:pPr>
              <w:pStyle w:val="Compact"/>
            </w:pPr>
            <w:r>
              <w:t xml:space="preserve">{{Sim/Não}}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9"/>
    <w:bookmarkStart w:id="50" w:name="porque-isto-importa"/>
    <w:p>
      <w:pPr>
        <w:pStyle w:val="Heading2"/>
      </w:pPr>
      <w:r>
        <w:t xml:space="preserve">2. Porque isto importa</w:t>
      </w:r>
    </w:p>
    <w:p>
      <w:pPr>
        <w:pStyle w:val="FirstParagraph"/>
      </w:pPr>
      <w:r>
        <w:t xml:space="preserve">Uma dependência com licença copyleft forte dentro de um produto distribuído</w:t>
      </w:r>
      <w:r>
        <w:t xml:space="preserve"> </w:t>
      </w:r>
      <w:r>
        <w:t xml:space="preserve">pode obrigar a publicar o código todo. Não é uma questão teórica: descobre-se</w:t>
      </w:r>
      <w:r>
        <w:t xml:space="preserve"> </w:t>
      </w:r>
      <w:r>
        <w:t xml:space="preserve">tipicamente na véspera de uma entrega, quando já não há tempo para substituir.</w:t>
      </w:r>
    </w:p>
    <w:p>
      <w:pPr>
        <w:pStyle w:val="BodyText"/>
      </w:pPr>
      <w:r>
        <w:rPr>
          <w:b/>
          <w:bCs/>
        </w:rPr>
        <w:t xml:space="preserve">Regra:</w:t>
      </w:r>
      <w:r>
        <w:t xml:space="preserve"> </w:t>
      </w:r>
      <w:r>
        <w:t xml:space="preserve">a licença verifica-se</w:t>
      </w:r>
      <w:r>
        <w:t xml:space="preserve"> </w:t>
      </w:r>
      <w:r>
        <w:rPr>
          <w:b/>
          <w:bCs/>
        </w:rPr>
        <w:t xml:space="preserve">quando a dependência entra</w:t>
      </w:r>
      <w:r>
        <w:t xml:space="preserve">, não antes de</w:t>
      </w:r>
      <w:r>
        <w:t xml:space="preserve"> </w:t>
      </w:r>
      <w:r>
        <w:t xml:space="preserve">entregar.</w:t>
      </w:r>
    </w:p>
    <w:p>
      <w:r>
        <w:pict>
          <v:rect style="width:0;height:1.5pt" o:hralign="center" o:hrstd="t" o:hr="t"/>
        </w:pict>
      </w:r>
    </w:p>
    <w:bookmarkEnd w:id="50"/>
    <w:bookmarkStart w:id="51" w:name="licenças-o-que-se-pode-e-não-se-pode"/>
    <w:p>
      <w:pPr>
        <w:pStyle w:val="Heading2"/>
      </w:pPr>
      <w:r>
        <w:t xml:space="preserve">3. Licenças — o que se pode e não se pode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Licença</w:t>
            </w:r>
          </w:p>
        </w:tc>
        <w:tc>
          <w:tcPr/>
          <w:p>
            <w:pPr>
              <w:pStyle w:val="Compact"/>
            </w:pPr>
            <w:r>
              <w:t xml:space="preserve">Uso interno</w:t>
            </w:r>
          </w:p>
        </w:tc>
        <w:tc>
          <w:tcPr/>
          <w:p>
            <w:pPr>
              <w:pStyle w:val="Compact"/>
            </w:pPr>
            <w:r>
              <w:t xml:space="preserve">Distribuição</w:t>
            </w:r>
          </w:p>
        </w:tc>
        <w:tc>
          <w:tcPr/>
          <w:p>
            <w:pPr>
              <w:pStyle w:val="Compact"/>
            </w:pPr>
            <w:r>
              <w:t xml:space="preserve">Obriga a publicar código</w:t>
            </w:r>
          </w:p>
        </w:tc>
        <w:tc>
          <w:tcPr/>
          <w:p>
            <w:pPr>
              <w:pStyle w:val="Compact"/>
            </w:pPr>
            <w:r>
              <w:t xml:space="preserve">Decisão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MIT, BSD, ISC, Apache-2.0</w:t>
            </w:r>
          </w:p>
        </w:tc>
        <w:tc>
          <w:tcPr/>
          <w:p>
            <w:pPr>
              <w:pStyle w:val="Compact"/>
            </w:pPr>
            <w:r>
              <w:t xml:space="preserve">✔</w:t>
            </w:r>
          </w:p>
        </w:tc>
        <w:tc>
          <w:tcPr/>
          <w:p>
            <w:pPr>
              <w:pStyle w:val="Compact"/>
            </w:pPr>
            <w:r>
              <w:t xml:space="preserve">✔</w:t>
            </w:r>
          </w:p>
        </w:tc>
        <w:tc>
          <w:tcPr/>
          <w:p>
            <w:pPr>
              <w:pStyle w:val="Compact"/>
            </w:pPr>
            <w:r>
              <w:t xml:space="preserve">Não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Livre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MPL-2.0, LGPL</w:t>
            </w:r>
          </w:p>
        </w:tc>
        <w:tc>
          <w:tcPr/>
          <w:p>
            <w:pPr>
              <w:pStyle w:val="Compact"/>
            </w:pPr>
            <w:r>
              <w:t xml:space="preserve">✔</w:t>
            </w:r>
          </w:p>
        </w:tc>
        <w:tc>
          <w:tcPr/>
          <w:p>
            <w:pPr>
              <w:pStyle w:val="Compact"/>
            </w:pPr>
            <w:r>
              <w:t xml:space="preserve">✔</w:t>
            </w:r>
          </w:p>
        </w:tc>
        <w:tc>
          <w:tcPr/>
          <w:p>
            <w:pPr>
              <w:pStyle w:val="Compact"/>
            </w:pPr>
            <w:r>
              <w:t xml:space="preserve">Só os ficheiros alterados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 cuidado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GPL-2.0, GPL-3.0</w:t>
            </w:r>
          </w:p>
        </w:tc>
        <w:tc>
          <w:tcPr/>
          <w:p>
            <w:pPr>
              <w:pStyle w:val="Compact"/>
            </w:pPr>
            <w:r>
              <w:t xml:space="preserve">✔</w:t>
            </w:r>
          </w:p>
        </w:tc>
        <w:tc>
          <w:tcPr/>
          <w:p>
            <w:pPr>
              <w:pStyle w:val="Compact"/>
            </w:pPr>
            <w:r>
              <w:t xml:space="preserve">⚠</w:t>
            </w:r>
          </w:p>
        </w:tc>
        <w:tc>
          <w:tcPr/>
          <w:p>
            <w:pPr>
              <w:pStyle w:val="Compact"/>
            </w:pPr>
            <w:r>
              <w:t xml:space="preserve">Sim, se distribuído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Aprovação necessária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AGPL-3.0</w:t>
            </w:r>
          </w:p>
        </w:tc>
        <w:tc>
          <w:tcPr/>
          <w:p>
            <w:pPr>
              <w:pStyle w:val="Compact"/>
            </w:pPr>
            <w:r>
              <w:t xml:space="preserve">⚠</w:t>
            </w:r>
          </w:p>
        </w:tc>
        <w:tc>
          <w:tcPr/>
          <w:p>
            <w:pPr>
              <w:pStyle w:val="Compact"/>
            </w:pPr>
            <w:r>
              <w:t xml:space="preserve">⚠</w:t>
            </w:r>
          </w:p>
        </w:tc>
        <w:tc>
          <w:tcPr/>
          <w:p>
            <w:pPr>
              <w:pStyle w:val="Compact"/>
            </w:pPr>
            <w:r>
              <w:t xml:space="preserve">Sim,</w:t>
            </w:r>
            <w:r>
              <w:t xml:space="preserve"> </w:t>
            </w:r>
            <w:r>
              <w:rPr>
                <w:b/>
                <w:bCs/>
              </w:rPr>
              <w:t xml:space="preserve">mesmo em SaaS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Aprovação necessária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Sem licença</w:t>
            </w:r>
          </w:p>
        </w:tc>
        <w:tc>
          <w:tcPr/>
          <w:p>
            <w:pPr>
              <w:pStyle w:val="Compact"/>
            </w:pPr>
            <w:r>
              <w:t xml:space="preserve">✘</w:t>
            </w:r>
          </w:p>
        </w:tc>
        <w:tc>
          <w:tcPr/>
          <w:p>
            <w:pPr>
              <w:pStyle w:val="Compact"/>
            </w:pPr>
            <w:r>
              <w:t xml:space="preserve">✘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Proibido</w:t>
            </w:r>
            <w:r>
              <w:t xml:space="preserve"> </w:t>
            </w:r>
            <w:r>
              <w:t xml:space="preserve">— sem licença não há permissão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Comercial</w:t>
            </w:r>
          </w:p>
        </w:tc>
        <w:tc>
          <w:tcPr/>
          <w:p>
            <w:pPr>
              <w:pStyle w:val="Compact"/>
            </w:pPr>
            <w:r>
              <w:t xml:space="preserve">Conforme contrato</w:t>
            </w:r>
          </w:p>
        </w:tc>
        <w:tc>
          <w:tcPr/>
          <w:p>
            <w:pPr>
              <w:pStyle w:val="Compact"/>
            </w:pPr>
            <w:r>
              <w:t xml:space="preserve">Conforme contrato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Verificar termos</w:t>
            </w:r>
          </w:p>
        </w:tc>
      </w:tr>
    </w:tbl>
    <w:p>
      <w:pPr>
        <w:pStyle w:val="BlockText"/>
      </w:pPr>
      <w:r>
        <w:t xml:space="preserve">“Está no GitHub”</w:t>
      </w:r>
      <w:r>
        <w:t xml:space="preserve"> </w:t>
      </w:r>
      <w:r>
        <w:t xml:space="preserve">não é uma licença. Código sem licença é código sem permissão</w:t>
      </w:r>
      <w:r>
        <w:t xml:space="preserve"> </w:t>
      </w:r>
      <w:r>
        <w:t xml:space="preserve">de uso, por omissão da lei de direitos de autor.</w:t>
      </w:r>
    </w:p>
    <w:p>
      <w:r>
        <w:pict>
          <v:rect style="width:0;height:1.5pt" o:hralign="center" o:hrstd="t" o:hr="t"/>
        </w:pict>
      </w:r>
    </w:p>
    <w:bookmarkEnd w:id="51"/>
    <w:bookmarkStart w:id="52" w:name="inventário-de-dependências-sbom"/>
    <w:p>
      <w:pPr>
        <w:pStyle w:val="Heading2"/>
      </w:pPr>
      <w:r>
        <w:t xml:space="preserve">4. Inventário de dependências (SBOM)</w:t>
      </w:r>
    </w:p>
    <w:p>
      <w:pPr>
        <w:pStyle w:val="FirstParagraph"/>
      </w:pPr>
      <w:r>
        <w:t xml:space="preserve">Gerado automaticamente.</w:t>
      </w:r>
      <w:r>
        <w:t xml:space="preserve"> </w:t>
      </w:r>
      <w:r>
        <w:rPr>
          <w:b/>
          <w:bCs/>
        </w:rPr>
        <w:t xml:space="preserve">Não manter à mão</w:t>
      </w:r>
      <w:r>
        <w:t xml:space="preserve"> </w:t>
      </w:r>
      <w:r>
        <w:t xml:space="preserve">— desactualiza-se numa semana.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Ecossistema</w:t>
            </w:r>
          </w:p>
        </w:tc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Ficheiro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{{Python}}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{{pip-licenses --format=csv}}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{{Node}}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{{npx license-checker --csv}}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{{.NET}}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{{...}}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Componente</w:t>
            </w:r>
          </w:p>
        </w:tc>
        <w:tc>
          <w:tcPr/>
          <w:p>
            <w:pPr>
              <w:pStyle w:val="Compact"/>
            </w:pPr>
            <w:r>
              <w:t xml:space="preserve">Versão</w:t>
            </w:r>
          </w:p>
        </w:tc>
        <w:tc>
          <w:tcPr/>
          <w:p>
            <w:pPr>
              <w:pStyle w:val="Compact"/>
            </w:pPr>
            <w:r>
              <w:t xml:space="preserve">Licença</w:t>
            </w:r>
          </w:p>
        </w:tc>
        <w:tc>
          <w:tcPr/>
          <w:p>
            <w:pPr>
              <w:pStyle w:val="Compact"/>
            </w:pPr>
            <w:r>
              <w:t xml:space="preserve">Direta?</w:t>
            </w:r>
          </w:p>
        </w:tc>
        <w:tc>
          <w:tcPr/>
          <w:p>
            <w:pPr>
              <w:pStyle w:val="Compact"/>
            </w:pPr>
            <w:r>
              <w:t xml:space="preserve">Uso</w:t>
            </w:r>
          </w:p>
        </w:tc>
        <w:tc>
          <w:tcPr/>
          <w:p>
            <w:pPr>
              <w:pStyle w:val="Compac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{{django}}</w:t>
            </w:r>
          </w:p>
        </w:tc>
        <w:tc>
          <w:tcPr/>
          <w:p>
            <w:pPr>
              <w:pStyle w:val="Compact"/>
            </w:pPr>
            <w:r>
              <w:t xml:space="preserve">{{6.0}}</w:t>
            </w:r>
          </w:p>
        </w:tc>
        <w:tc>
          <w:tcPr/>
          <w:p>
            <w:pPr>
              <w:pStyle w:val="Compact"/>
            </w:pPr>
            <w:r>
              <w:t xml:space="preserve">BSD-3</w:t>
            </w:r>
          </w:p>
        </w:tc>
        <w:tc>
          <w:tcPr/>
          <w:p>
            <w:pPr>
              <w:pStyle w:val="Compact"/>
            </w:pPr>
            <w:r>
              <w:t xml:space="preserve">Sim</w:t>
            </w:r>
          </w:p>
        </w:tc>
        <w:tc>
          <w:tcPr/>
          <w:p>
            <w:pPr>
              <w:pStyle w:val="Compact"/>
            </w:pPr>
            <w:r>
              <w:t xml:space="preserve">{{Framework}}</w:t>
            </w:r>
          </w:p>
        </w:tc>
        <w:tc>
          <w:tcPr/>
          <w:p>
            <w:pPr>
              <w:pStyle w:val="Compact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</w:tbl>
    <w:p>
      <w:pPr>
        <w:pStyle w:val="BodyText"/>
      </w:pPr>
      <w:r>
        <w:rPr>
          <w:b/>
          <w:bCs/>
        </w:rPr>
        <w:t xml:space="preserve">Resumo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Licença</w:t>
            </w:r>
          </w:p>
        </w:tc>
        <w:tc>
          <w:tcPr/>
          <w:p>
            <w:pPr>
              <w:pStyle w:val="Compact"/>
            </w:pPr>
            <w:r>
              <w:t xml:space="preserve">Nº de componentes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Permissivas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Copyleft fraco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Copyleft forte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Desconhecida</w:t>
            </w:r>
          </w:p>
        </w:tc>
        <w:tc>
          <w:tcPr/>
          <w:p>
            <w:pPr>
              <w:pStyle w:val="Compact"/>
            </w:pPr>
            <w:r>
              <w:t xml:space="preserve">{{0 — qualquer valor &gt; 0 é um bloqueio}}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2"/>
    <w:bookmarkStart w:id="53" w:name="obrigações-de-atribuição"/>
    <w:p>
      <w:pPr>
        <w:pStyle w:val="Heading2"/>
      </w:pPr>
      <w:r>
        <w:t xml:space="preserve">5. Obrigações de atribuição</w:t>
      </w:r>
    </w:p>
    <w:p>
      <w:pPr>
        <w:pStyle w:val="FirstParagraph"/>
      </w:pPr>
      <w:r>
        <w:t xml:space="preserve">Componentes que exigem incluir aviso de copyright no produto distribuído.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Componente</w:t>
            </w:r>
          </w:p>
        </w:tc>
        <w:tc>
          <w:tcPr/>
          <w:p>
            <w:pPr>
              <w:pStyle w:val="Compact"/>
            </w:pPr>
            <w:r>
              <w:t xml:space="preserve">Licença</w:t>
            </w:r>
          </w:p>
        </w:tc>
        <w:tc>
          <w:tcPr/>
          <w:p>
            <w:pPr>
              <w:pStyle w:val="Compact"/>
            </w:pPr>
            <w:r>
              <w:t xml:space="preserve">Texto incluído 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{{MIT}}</w:t>
            </w:r>
          </w:p>
        </w:tc>
        <w:tc>
          <w:tcPr/>
          <w:p>
            <w:pPr>
              <w:pStyle w:val="Compact"/>
            </w:pPr>
            <w:r>
              <w:t xml:space="preserve">{{ecrã</w:t>
            </w:r>
            <w:r>
              <w:t xml:space="preserve"> </w:t>
            </w:r>
            <w:r>
              <w:t xml:space="preserve">“Sobre”</w:t>
            </w:r>
            <w:r>
              <w:t xml:space="preserve"> </w:t>
            </w:r>
            <w:r>
              <w:t xml:space="preserve">/ ficheiro</w:t>
            </w:r>
            <w:r>
              <w:t xml:space="preserve"> </w:t>
            </w:r>
            <w:r>
              <w:rPr>
                <w:rStyle w:val="VerbatimChar"/>
              </w:rPr>
              <w:t xml:space="preserve">TERCEIROS.txt</w:t>
            </w:r>
            <w:r>
              <w:t xml:space="preserve">}}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Start w:id="54" w:name="vulnerabilidades-conhecidas"/>
    <w:p>
      <w:pPr>
        <w:pStyle w:val="Heading2"/>
      </w:pPr>
      <w:r>
        <w:t xml:space="preserve">6. Vulnerabilidades conhecidas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Ferramenta</w:t>
            </w:r>
          </w:p>
        </w:tc>
        <w:tc>
          <w:tcPr/>
          <w:p>
            <w:pPr>
              <w:pStyle w:val="Compact"/>
            </w:pPr>
            <w:r>
              <w:t xml:space="preserve">Onde corre</w:t>
            </w:r>
          </w:p>
        </w:tc>
        <w:tc>
          <w:tcPr/>
          <w:p>
            <w:pPr>
              <w:pStyle w:val="Compact"/>
            </w:pPr>
            <w:r>
              <w:t xml:space="preserve">Frequência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{{Dependabot / pip-audit / npm audit}}</w:t>
            </w:r>
          </w:p>
        </w:tc>
        <w:tc>
          <w:tcPr/>
          <w:p>
            <w:pPr>
              <w:pStyle w:val="Compact"/>
            </w:pPr>
            <w:r>
              <w:t xml:space="preserve">{{CI}}</w:t>
            </w:r>
          </w:p>
        </w:tc>
        <w:tc>
          <w:tcPr/>
          <w:p>
            <w:pPr>
              <w:pStyle w:val="Compact"/>
            </w:pPr>
            <w:r>
              <w:t xml:space="preserve">{{Cada PR + semanal}}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Componente</w:t>
            </w:r>
          </w:p>
        </w:tc>
        <w:tc>
          <w:tcPr/>
          <w:p>
            <w:pPr>
              <w:pStyle w:val="Compact"/>
            </w:pPr>
            <w:r>
              <w:t xml:space="preserve">Versão</w:t>
            </w:r>
          </w:p>
        </w:tc>
        <w:tc>
          <w:tcPr/>
          <w:p>
            <w:pPr>
              <w:pStyle w:val="Compact"/>
            </w:pPr>
            <w:r>
              <w:t xml:space="preserve">CVE</w:t>
            </w:r>
          </w:p>
        </w:tc>
        <w:tc>
          <w:tcPr/>
          <w:p>
            <w:pPr>
              <w:pStyle w:val="Compact"/>
            </w:pPr>
            <w:r>
              <w:t xml:space="preserve">Gravidade</w:t>
            </w:r>
          </w:p>
        </w:tc>
        <w:tc>
          <w:tcPr/>
          <w:p>
            <w:pPr>
              <w:pStyle w:val="Compact"/>
            </w:pPr>
            <w:r>
              <w:t xml:space="preserve">Estado</w:t>
            </w:r>
          </w:p>
        </w:tc>
        <w:tc>
          <w:tcPr/>
          <w:p>
            <w:pPr>
              <w:pStyle w:val="Compact"/>
            </w:pPr>
            <w:r>
              <w:t xml:space="preserve">Prazo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{{Alta}}</w:t>
            </w:r>
          </w:p>
        </w:tc>
        <w:tc>
          <w:tcPr/>
          <w:p>
            <w:pPr>
              <w:pStyle w:val="Compact"/>
            </w:pPr>
            <w:r>
              <w:t xml:space="preserve">{{Em correção}}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</w:tbl>
    <w:p>
      <w:pPr>
        <w:pStyle w:val="BodyText"/>
      </w:pPr>
      <w:r>
        <w:rPr>
          <w:b/>
          <w:bCs/>
        </w:rPr>
        <w:t xml:space="preserve">Prazos de correção:</w:t>
      </w:r>
      <w:r>
        <w:t xml:space="preserve"> </w:t>
      </w:r>
      <w:r>
        <w:t xml:space="preserve">crítica {{7 dias}} · alta {{30 dias}} · média {{90 dias}}.</w:t>
      </w:r>
    </w:p>
    <w:p>
      <w:r>
        <w:pict>
          <v:rect style="width:0;height:1.5pt" o:hralign="center" o:hrstd="t" o:hr="t"/>
        </w:pict>
      </w:r>
    </w:p>
    <w:bookmarkEnd w:id="54"/>
    <w:bookmarkStart w:id="55" w:name="componentes-com-risco-de-abandono"/>
    <w:p>
      <w:pPr>
        <w:pStyle w:val="Heading2"/>
      </w:pPr>
      <w:r>
        <w:t xml:space="preserve">7. Componentes com risco de abandono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Componente</w:t>
            </w:r>
          </w:p>
        </w:tc>
        <w:tc>
          <w:tcPr/>
          <w:p>
            <w:pPr>
              <w:pStyle w:val="Compact"/>
            </w:pPr>
            <w:r>
              <w:t xml:space="preserve">Último lançamento</w:t>
            </w:r>
          </w:p>
        </w:tc>
        <w:tc>
          <w:tcPr/>
          <w:p>
            <w:pPr>
              <w:pStyle w:val="Compact"/>
            </w:pPr>
            <w:r>
              <w:t xml:space="preserve">Manutenção</w:t>
            </w:r>
          </w:p>
        </w:tc>
        <w:tc>
          <w:tcPr/>
          <w:p>
            <w:pPr>
              <w:pStyle w:val="Compact"/>
            </w:pPr>
            <w:r>
              <w:t xml:space="preserve">Risco</w:t>
            </w:r>
          </w:p>
        </w:tc>
        <w:tc>
          <w:tcPr/>
          <w:p>
            <w:pPr>
              <w:pStyle w:val="Compact"/>
            </w:pPr>
            <w:r>
              <w:t xml:space="preserve">Alternativa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{{há 3 anos}}</w:t>
            </w:r>
          </w:p>
        </w:tc>
        <w:tc>
          <w:tcPr/>
          <w:p>
            <w:pPr>
              <w:pStyle w:val="Compact"/>
            </w:pPr>
            <w:r>
              <w:t xml:space="preserve">{{1 pessoa}}</w:t>
            </w:r>
          </w:p>
        </w:tc>
        <w:tc>
          <w:tcPr/>
          <w:p>
            <w:pPr>
              <w:pStyle w:val="Compact"/>
            </w:pPr>
            <w:r>
              <w:t xml:space="preserve">{{Alto}}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5"/>
    <w:bookmarkStart w:id="56" w:name="X52bd58150467f4061f1a7b31e28b5d007f31ebd"/>
    <w:p>
      <w:pPr>
        <w:pStyle w:val="Heading2"/>
      </w:pPr>
      <w:r>
        <w:t xml:space="preserve">8. Processo para acrescentar uma dependência</w:t>
      </w:r>
    </w:p>
    <w:p>
      <w:pPr>
        <w:pStyle w:val="Compact"/>
        <w:numPr>
          <w:ilvl w:val="0"/>
          <w:numId w:val="1001"/>
        </w:numPr>
      </w:pPr>
      <w:r>
        <w:t xml:space="preserve">Existe já algo no projeto que resolve isto?</w:t>
      </w:r>
    </w:p>
    <w:p>
      <w:pPr>
        <w:pStyle w:val="Compact"/>
        <w:numPr>
          <w:ilvl w:val="0"/>
          <w:numId w:val="1002"/>
        </w:numPr>
      </w:pPr>
      <w:r>
        <w:t xml:space="preserve">Licença verificada e na lista de permitidas</w:t>
      </w:r>
    </w:p>
    <w:p>
      <w:pPr>
        <w:pStyle w:val="Compact"/>
        <w:numPr>
          <w:ilvl w:val="0"/>
          <w:numId w:val="1003"/>
        </w:numPr>
      </w:pPr>
      <w:r>
        <w:t xml:space="preserve">Manutenção ativa ({{lançamento nos últimos 12 meses}})</w:t>
      </w:r>
    </w:p>
    <w:p>
      <w:pPr>
        <w:pStyle w:val="Compact"/>
        <w:numPr>
          <w:ilvl w:val="0"/>
          <w:numId w:val="1004"/>
        </w:numPr>
      </w:pPr>
      <w:r>
        <w:t xml:space="preserve">Sem vulnerabilidades críticas abertas</w:t>
      </w:r>
    </w:p>
    <w:p>
      <w:pPr>
        <w:pStyle w:val="Compact"/>
        <w:numPr>
          <w:ilvl w:val="0"/>
          <w:numId w:val="1005"/>
        </w:numPr>
      </w:pPr>
      <w:r>
        <w:t xml:space="preserve">Dimensão e dependências transitivas aceitáveis</w:t>
      </w:r>
    </w:p>
    <w:p>
      <w:pPr>
        <w:pStyle w:val="Compact"/>
        <w:numPr>
          <w:ilvl w:val="0"/>
          <w:numId w:val="1006"/>
        </w:numPr>
      </w:pPr>
      <w:r>
        <w:t xml:space="preserve">Registada no inventário</w:t>
      </w:r>
    </w:p>
    <w:p>
      <w:pPr>
        <w:pStyle w:val="Compact"/>
        <w:numPr>
          <w:ilvl w:val="0"/>
          <w:numId w:val="1007"/>
        </w:numPr>
      </w:pPr>
      <w:r>
        <w:t xml:space="preserve">Se copyleft forte: aprovada por {{…}}</w:t>
      </w:r>
    </w:p>
    <w:bookmarkEnd w:id="56"/>
    <w:sectPr>
      <w:footerReference xmlns:r="http://schemas.openxmlformats.org/officeDocument/2006/relationships" r:id="rId40" w:type="default"/>
      <w:pgSz w:h="16838" w:w="11906"/>
      <w:pgMar w:bottom="1134" w:footer="709" w:gutter="0" w:header="709" w:left="1021" w:right="1021" w:top="1134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jc w:val="center"/>
      <w:pBdr>
        <w:top w:val="single" w:sz="4" w:space="6" w:color="D6DEE4"/>
      </w:pBdr>
      <w:spacing w:before="60" w:after="0"/>
    </w:pPr>
    <w:r>
      <w:rPr>
        <w:rFonts w:ascii="Calibri" w:hAnsi="Calibri"/>
        <w:sz w:val="16"/>
        <w:color w:val="7A868F"/>
      </w:rPr>
      <w:t xml:space="preserve">Pagina </w:t>
    </w:r>
    <w:r>
      <w:rPr>
        <w:sz w:val="16"/>
        <w:color w:val="7A868F"/>
      </w:rPr>
      <w:fldChar w:fldCharType="begin"/>
    </w:r>
    <w:r>
      <w:rPr>
        <w:sz w:val="16"/>
        <w:color w:val="7A868F"/>
      </w:rPr>
      <w:instrText xml:space="preserve"> PAGE </w:instrText>
    </w:r>
    <w:r>
      <w:rPr>
        <w:sz w:val="16"/>
        <w:color w:val="7A868F"/>
      </w:rPr>
      <w:fldChar w:fldCharType="separate"/>
    </w:r>
    <w:r>
      <w:rPr>
        <w:sz w:val="16"/>
        <w:color w:val="7A868F"/>
      </w:rPr>
      <w:t>1</w:t>
    </w:r>
    <w:r>
      <w:rPr>
        <w:sz w:val="16"/>
        <w:color w:val="7A868F"/>
      </w:rPr>
      <w:fldChar w:fldCharType="end"/>
    </w:r>
    <w:r>
      <w:rPr>
        <w:rFonts w:ascii="Calibri" w:hAnsi="Calibri"/>
        <w:sz w:val="16"/>
        <w:color w:val="7A868F"/>
      </w:rPr>
      <w:t xml:space="preserve"> de </w:t>
    </w:r>
    <w:r>
      <w:rPr>
        <w:sz w:val="16"/>
        <w:color w:val="7A868F"/>
      </w:rPr>
      <w:fldChar w:fldCharType="begin"/>
    </w:r>
    <w:r>
      <w:rPr>
        <w:sz w:val="16"/>
        <w:color w:val="7A868F"/>
      </w:rPr>
      <w:instrText xml:space="preserve"> NUMPAGES </w:instrText>
    </w:r>
    <w:r>
      <w:rPr>
        <w:sz w:val="16"/>
        <w:color w:val="7A868F"/>
      </w:rPr>
      <w:fldChar w:fldCharType="separate"/>
    </w:r>
    <w:r>
      <w:rPr>
        <w:sz w:val="16"/>
        <w:color w:val="7A868F"/>
      </w:rPr>
      <w:t>1</w:t>
    </w:r>
    <w:r>
      <w:rPr>
        <w:sz w:val="16"/>
        <w:color w:val="7A868F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pt-PT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264" w:lineRule="auto"/>
    </w:pPr>
    <w:rPr>
      <w:rFonts w:ascii="Calibri" w:cs="Calibri" w:hAnsi="Calibri"/>
      <w:sz w:val="21"/>
      <w:szCs w:val="21"/>
      <w:lang w:bidi="ar-SA" w:eastAsia="pt-PT" w:val="pt-PT"/>
    </w:rPr>
  </w:style>
  <w:style w:styleId="BodyText" w:type="paragraph">
    <w:name w:val="Body Text"/>
    <w:basedOn w:val="Normal"/>
    <w:link w:val="BodyTextChar"/>
    <w:qFormat/>
    <w:pPr>
      <w:spacing w:after="120" w:before="6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qFormat/>
    <w:pPr>
      <w:keepNext/>
      <w:spacing w:after="120" w:before="0"/>
      <w:pBdr>
        <w:bottom w:color="EF7B10" w:space="6" w:sz="18" w:val="single"/>
      </w:pBdr>
    </w:pPr>
    <w:rPr>
      <w:rFonts w:ascii="Calibri" w:hAnsi="Calibri"/>
      <w:b/>
      <w:color w:val="2224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2514E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spacing w:after="140" w:before="360"/>
      <w:pBdr>
        <w:bottom w:color="BA5C00" w:space="4" w:sz="6" w:val="single"/>
      </w:pBdr>
      <w:outlineLvl w:val="0"/>
    </w:pPr>
    <w:rPr>
      <w:rFonts w:ascii="Calibri" w:hAnsi="Calibri"/>
      <w:b/>
      <w:color w:val="222428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qFormat/>
    <w:pPr>
      <w:keepNext/>
      <w:keepLines/>
      <w:spacing w:after="110" w:before="280"/>
      <w:outlineLvl w:val="1"/>
    </w:pPr>
    <w:rPr>
      <w:rFonts w:ascii="Calibri" w:hAnsi="Calibri"/>
      <w:b/>
      <w:color w:val="00537E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qFormat/>
    <w:pPr>
      <w:keepNext/>
      <w:keepLines/>
      <w:spacing w:after="90" w:before="220"/>
      <w:outlineLvl w:val="2"/>
    </w:pPr>
    <w:rPr>
      <w:rFonts w:ascii="Calibri" w:hAnsi="Calibri"/>
      <w:b/>
      <w:color w:val="222428"/>
      <w:sz w:val="23"/>
      <w:szCs w:val="23"/>
    </w:rPr>
  </w:style>
  <w:style w:styleId="Heading4" w:type="paragraph">
    <w:name w:val="heading 4"/>
    <w:basedOn w:val="Normal"/>
    <w:next w:val="BodyText"/>
    <w:link w:val="Heading4Char"/>
    <w:uiPriority w:val="9"/>
    <w:qFormat/>
    <w:pPr>
      <w:keepNext/>
      <w:keepLines/>
      <w:spacing w:after="80" w:before="180"/>
      <w:outlineLvl w:val="3"/>
    </w:pPr>
    <w:rPr>
      <w:rFonts w:ascii="Calibri" w:hAnsi="Calibri"/>
      <w:b/>
      <w:color w:val="222428"/>
      <w:sz w:val="21"/>
      <w:szCs w:val="2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222428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2514E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2514E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52514E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52514E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222428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222428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222428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222428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222428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2514E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2514E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52514E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52514E"/>
    </w:rPr>
  </w:style>
  <w:style w:styleId="BlockText" w:type="paragraph">
    <w:name w:val="Block Text"/>
    <w:basedOn w:val="Normal"/>
    <w:qFormat/>
    <w:pPr>
      <w:spacing w:after="120" w:before="120"/>
      <w:ind w:left="240" w:right="120"/>
      <w:shd w:color="auto" w:fill="FEE1CE" w:val="clear"/>
      <w:pBdr>
        <w:left w:color="EF7B10" w:space="8" w:sz="18" w:val="single"/>
      </w:pBdr>
    </w:pPr>
    <w:rPr>
      <w:color w:val="52514E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40" w:lineRule="auto"/>
    </w:pPr>
    <w:rPr>
      <w:sz w:val="19"/>
      <w:szCs w:val="19"/>
    </w:rPr>
    <w:tblPr>
      <w:tblInd w:type="dxa" w:w="0"/>
      <w:tblBorders>
        <w:top w:color="BFC0C2" w:sz="4" w:val="single"/>
        <w:left w:color="BFC0C2" w:sz="4" w:val="single"/>
        <w:bottom w:color="BFC0C2" w:sz="4" w:val="single"/>
        <w:right w:color="BFC0C2" w:sz="4" w:val="single"/>
        <w:insideH w:color="BFC0C2" w:sz="4" w:val="single"/>
        <w:insideV w:color="BFC0C2" w:sz="4" w:val="singl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keepNext/>
      </w:pPr>
      <w:rPr>
        <w:b/>
        <w:color w:val="FFFFFF"/>
      </w:rPr>
      <w:tcPr>
        <w:shd w:color="auto" w:fill="00537E" w:val="clear"/>
        <w:tcBorders>
          <w:bottom w:color="BFC0C2" w:sz="4" w:val="single"/>
        </w:tcBorders>
        <w:vAlign w:val="center"/>
      </w:tcPr>
    </w:tblStylePr>
    <w:tblStylePr w:type="band2Horz">
      <w:tcPr>
        <w:shd w:color="auto" w:fill="F7F8FA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styleId="ImageCaption" w:type="paragraph">
    <w:name w:val="Image Caption"/>
    <w:basedOn w:val="Normal"/>
    <w:qFormat/>
    <w:pPr>
      <w:jc w:val="center"/>
      <w:spacing w:after="200" w:before="60"/>
    </w:pPr>
    <w:rPr>
      <w:i/>
      <w:color w:val="6B6E74"/>
      <w:sz w:val="18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  <w:szCs w:val="18"/>
      <w:color w:val="00537E"/>
      <w:shd w:color="auto" w:fill="ECEFF3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00537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222428"/>
    </w:rPr>
  </w:style>
  <w:style w:customStyle="1" w:styleId="SourceCode" w:type="paragraph">
    <w:name w:val="Source Code"/>
    <w:basedOn w:val="Normal"/>
    <w:qFormat/>
    <w:pPr>
      <w:keepLines/>
      <w:spacing w:after="0" w:before="0" w:line="240" w:lineRule="auto"/>
      <w:ind w:left="120" w:right="120"/>
      <w:shd w:color="auto" w:fill="ECEFF3" w:val="clear"/>
      <w:pBdr>
        <w:top w:color="BFC0C2" w:space="2" w:sz="4" w:val="single"/>
        <w:left w:color="BA5C00" w:space="4" w:sz="18" w:val="single"/>
        <w:bottom w:color="BFC0C2" w:space="2" w:sz="4" w:val="single"/>
        <w:right w:color="BFC0C2" w:space="2" w:sz="4" w:val="single"/>
      </w:pBdr>
    </w:pPr>
    <w:rPr>
      <w:rFonts w:ascii="Consolas" w:hAnsi="Consolas"/>
      <w:sz w:val="17"/>
      <w:szCs w:val="17"/>
    </w:rPr>
  </w:style>
  <w:style w:customStyle="1" w:styleId="KeywordTok" w:type="character">
    <w:name w:val="KeywordTok"/>
    <w:basedOn w:val="VerbatimChar"/>
    <w:rPr>
      <w:b/>
      <w:color w:val="00537e"/>
    </w:rPr>
  </w:style>
  <w:style w:customStyle="1" w:styleId="DataTypeTok" w:type="character">
    <w:name w:val="DataTypeTok"/>
    <w:basedOn w:val="VerbatimChar"/>
    <w:rPr>
      <w:color w:val="00679e"/>
    </w:rPr>
  </w:style>
  <w:style w:customStyle="1" w:styleId="DecValTok" w:type="character">
    <w:name w:val="DecValTok"/>
    <w:basedOn w:val="VerbatimChar"/>
    <w:rPr>
      <w:color w:val="876c0d"/>
    </w:rPr>
  </w:style>
  <w:style w:customStyle="1" w:styleId="BaseNTok" w:type="character">
    <w:name w:val="BaseNTok"/>
    <w:basedOn w:val="VerbatimChar"/>
    <w:rPr>
      <w:color w:val="876c0d"/>
    </w:rPr>
  </w:style>
  <w:style w:customStyle="1" w:styleId="FloatTok" w:type="character">
    <w:name w:val="FloatTok"/>
    <w:basedOn w:val="VerbatimChar"/>
    <w:rPr>
      <w:color w:val="876c0d"/>
    </w:rPr>
  </w:style>
  <w:style w:customStyle="1" w:styleId="ConstantTok" w:type="character">
    <w:name w:val="ConstantTok"/>
    <w:basedOn w:val="VerbatimChar"/>
    <w:rPr>
      <w:color w:val="876c0d"/>
    </w:rPr>
  </w:style>
  <w:style w:customStyle="1" w:styleId="CharTok" w:type="character">
    <w:name w:val="CharTok"/>
    <w:basedOn w:val="VerbatimChar"/>
    <w:rPr>
      <w:color w:val="367c2b"/>
    </w:rPr>
  </w:style>
  <w:style w:customStyle="1" w:styleId="SpecialCharTok" w:type="character">
    <w:name w:val="SpecialCharTok"/>
    <w:basedOn w:val="VerbatimChar"/>
    <w:rPr>
      <w:color w:val="a2451c"/>
    </w:rPr>
  </w:style>
  <w:style w:customStyle="1" w:styleId="StringTok" w:type="character">
    <w:name w:val="StringTok"/>
    <w:basedOn w:val="VerbatimChar"/>
    <w:rPr>
      <w:color w:val="367c2b"/>
    </w:rPr>
  </w:style>
  <w:style w:customStyle="1" w:styleId="VerbatimStringTok" w:type="character">
    <w:name w:val="VerbatimStringTok"/>
    <w:basedOn w:val="VerbatimChar"/>
    <w:rPr>
      <w:color w:val="367c2b"/>
    </w:rPr>
  </w:style>
  <w:style w:customStyle="1" w:styleId="SpecialStringTok" w:type="character">
    <w:name w:val="SpecialStringTok"/>
    <w:basedOn w:val="VerbatimChar"/>
    <w:rPr>
      <w:color w:val="367c2b"/>
    </w:rPr>
  </w:style>
  <w:style w:customStyle="1" w:styleId="ImportTok" w:type="character">
    <w:name w:val="ImportTok"/>
    <w:basedOn w:val="VerbatimChar"/>
    <w:rPr>
      <w:b/>
      <w:color w:val="00537e"/>
    </w:rPr>
  </w:style>
  <w:style w:customStyle="1" w:styleId="CommentTok" w:type="character">
    <w:name w:val="CommentTok"/>
    <w:basedOn w:val="VerbatimChar"/>
    <w:rPr>
      <w:i/>
      <w:color w:val="6b6e74"/>
    </w:rPr>
  </w:style>
  <w:style w:customStyle="1" w:styleId="DocumentationTok" w:type="character">
    <w:name w:val="DocumentationTok"/>
    <w:basedOn w:val="VerbatimChar"/>
    <w:rPr>
      <w:i/>
      <w:color w:val="6b6e74"/>
    </w:rPr>
  </w:style>
  <w:style w:customStyle="1" w:styleId="AnnotationTok" w:type="character">
    <w:name w:val="AnnotationTok"/>
    <w:basedOn w:val="VerbatimChar"/>
    <w:rPr>
      <w:i/>
      <w:color w:val="6b6e74"/>
    </w:rPr>
  </w:style>
  <w:style w:customStyle="1" w:styleId="CommentVarTok" w:type="character">
    <w:name w:val="CommentVarTok"/>
    <w:basedOn w:val="VerbatimChar"/>
    <w:rPr>
      <w:i/>
      <w:color w:val="6b6e74"/>
    </w:rPr>
  </w:style>
  <w:style w:customStyle="1" w:styleId="OtherTok" w:type="character">
    <w:name w:val="OtherTok"/>
    <w:basedOn w:val="VerbatimChar"/>
    <w:rPr>
      <w:color w:val="222428"/>
    </w:rPr>
  </w:style>
  <w:style w:customStyle="1" w:styleId="FunctionTok" w:type="character">
    <w:name w:val="FunctionTok"/>
    <w:basedOn w:val="VerbatimChar"/>
    <w:rPr>
      <w:color w:val="00679e"/>
    </w:rPr>
  </w:style>
  <w:style w:customStyle="1" w:styleId="VariableTok" w:type="character">
    <w:name w:val="VariableTok"/>
    <w:basedOn w:val="VerbatimChar"/>
    <w:rPr>
      <w:color w:val="222428"/>
    </w:rPr>
  </w:style>
  <w:style w:customStyle="1" w:styleId="ControlFlowTok" w:type="character">
    <w:name w:val="ControlFlowTok"/>
    <w:basedOn w:val="VerbatimChar"/>
    <w:rPr>
      <w:b/>
      <w:color w:val="00537e"/>
    </w:rPr>
  </w:style>
  <w:style w:customStyle="1" w:styleId="OperatorTok" w:type="character">
    <w:name w:val="OperatorTok"/>
    <w:basedOn w:val="VerbatimChar"/>
    <w:rPr>
      <w:color w:val="222428"/>
    </w:rPr>
  </w:style>
  <w:style w:customStyle="1" w:styleId="BuiltInTok" w:type="character">
    <w:name w:val="BuiltInTok"/>
    <w:basedOn w:val="VerbatimChar"/>
    <w:rPr>
      <w:color w:val="222428"/>
    </w:rPr>
  </w:style>
  <w:style w:customStyle="1" w:styleId="ExtensionTok" w:type="character">
    <w:name w:val="ExtensionTok"/>
    <w:basedOn w:val="VerbatimChar"/>
    <w:rPr>
      <w:color w:val="222428"/>
    </w:rPr>
  </w:style>
  <w:style w:customStyle="1" w:styleId="PreprocessorTok" w:type="character">
    <w:name w:val="PreprocessorTok"/>
    <w:basedOn w:val="VerbatimChar"/>
    <w:rPr>
      <w:color w:val="a2451c"/>
    </w:rPr>
  </w:style>
  <w:style w:customStyle="1" w:styleId="AttributeTok" w:type="character">
    <w:name w:val="AttributeTok"/>
    <w:basedOn w:val="VerbatimChar"/>
    <w:rPr>
      <w:color w:val="00679e"/>
    </w:rPr>
  </w:style>
  <w:style w:customStyle="1" w:styleId="RegionMarkerTok" w:type="character">
    <w:name w:val="RegionMarkerTok"/>
    <w:basedOn w:val="VerbatimChar"/>
    <w:rPr>
      <w:color w:val="222428"/>
    </w:rPr>
  </w:style>
  <w:style w:customStyle="1" w:styleId="InformationTok" w:type="character">
    <w:name w:val="InformationTok"/>
    <w:basedOn w:val="VerbatimChar"/>
    <w:rPr>
      <w:i/>
      <w:color w:val="6b6e74"/>
    </w:rPr>
  </w:style>
  <w:style w:customStyle="1" w:styleId="WarningTok" w:type="character">
    <w:name w:val="WarningTok"/>
    <w:basedOn w:val="VerbatimChar"/>
    <w:rPr>
      <w:b/>
      <w:color w:val="876c0d"/>
    </w:rPr>
  </w:style>
  <w:style w:customStyle="1" w:styleId="AlertTok" w:type="character">
    <w:name w:val="AlertTok"/>
    <w:basedOn w:val="VerbatimChar"/>
    <w:rPr>
      <w:b/>
      <w:color w:val="cf372d"/>
    </w:rPr>
  </w:style>
  <w:style w:customStyle="1" w:styleId="ErrorTok" w:type="character">
    <w:name w:val="ErrorTok"/>
    <w:basedOn w:val="VerbatimChar"/>
    <w:rPr>
      <w:b/>
      <w:color w:val="cf372d"/>
    </w:rPr>
  </w:style>
  <w:style w:customStyle="1" w:styleId="NormalTok" w:type="character">
    <w:name w:val="NormalTok"/>
    <w:basedOn w:val="VerbatimChar"/>
    <w:rPr>
      <w:color w:val="22242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48" Target="numbering.xml" /><Relationship Type="http://schemas.openxmlformats.org/officeDocument/2006/relationships/styles" Id="rId47" Target="styles.xml" /><Relationship Type="http://schemas.openxmlformats.org/officeDocument/2006/relationships/settings" Id="rId46" Target="settings.xml" /><Relationship Type="http://schemas.openxmlformats.org/officeDocument/2006/relationships/webSettings" Id="rId45" Target="webSettings.xml" /><Relationship Type="http://schemas.openxmlformats.org/officeDocument/2006/relationships/fontTable" Id="rId44" Target="fontTable.xml" /><Relationship Type="http://schemas.openxmlformats.org/officeDocument/2006/relationships/theme" Id="rId43" Target="theme/theme1.xml" /><Relationship Type="http://schemas.openxmlformats.org/officeDocument/2006/relationships/footnotes" Id="rId42" Target="footnotes.xml" /><Relationship Type="http://schemas.openxmlformats.org/officeDocument/2006/relationships/comments" Id="rId41" Target="comments.xml" /><Relationship Id="rId40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Licenças e Componentes de Terceiros — {{PROJETO}}</dc:title>
  <dc:creator/>
  <dc:language>pt-PT</dc:language>
  <cp:keywords/>
  <dcterms:created xsi:type="dcterms:W3CDTF">2026-08-24T14:49:13Z</dcterms:created>
  <dcterms:modified xsi:type="dcterms:W3CDTF">2026-08-24T14:49:13Z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