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Contratação e Fornecedores — {{PROJETO}}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Data:</w:t>
      </w:r>
      <w:r>
        <w:t xml:space="preserve"> </w:t>
      </w:r>
      <w:r>
        <w:t xml:space="preserve">{{AAAA-MM-DD}} ·</w:t>
      </w:r>
      <w:r>
        <w:t xml:space="preserve"> </w:t>
      </w:r>
      <w:r>
        <w:rPr>
          <w:b/>
          <w:bCs/>
        </w:rPr>
        <w:t xml:space="preserve">Dono:</w:t>
      </w:r>
      <w:r>
        <w:t xml:space="preserve"> </w:t>
      </w:r>
      <w:r>
        <w:t xml:space="preserve">{{nome}}</w:t>
      </w:r>
    </w:p>
    <w:p>
      <w:r>
        <w:pict>
          <v:rect style="width:0;height:1.5pt" o:hralign="center" o:hrstd="t" o:hr="t"/>
        </w:pict>
      </w:r>
    </w:p>
    <w:bookmarkStart w:id="60" w:name="caderno-de-encargos-estrutura"/>
    <w:p>
      <w:pPr>
        <w:pStyle w:val="Heading2"/>
      </w:pPr>
      <w:r>
        <w:t xml:space="preserve">1. Caderno de encargos — estrutura</w:t>
      </w:r>
    </w:p>
    <w:p>
      <w:pPr>
        <w:pStyle w:val="BlockText"/>
      </w:pPr>
      <w:r>
        <w:t xml:space="preserve">Usar quando se contrata desenvolvimento, integração ou serviço a terceiros.</w:t>
      </w:r>
    </w:p>
    <w:bookmarkStart w:id="49" w:name="contexto-e-objetivo"/>
    <w:p>
      <w:pPr>
        <w:pStyle w:val="Heading3"/>
      </w:pPr>
      <w:r>
        <w:t xml:space="preserve">1.1 Contexto e objetivo</w:t>
      </w:r>
    </w:p>
    <w:p>
      <w:pPr>
        <w:pStyle w:val="FirstParagraph"/>
      </w:pPr>
      <w:r>
        <w:t xml:space="preserve">{{O problema de negócio. O que existe hoje. O que tem de existir no fim.}}</w:t>
      </w:r>
    </w:p>
    <w:bookmarkEnd w:id="49"/>
    <w:bookmarkStart w:id="50" w:name="âmbito"/>
    <w:p>
      <w:pPr>
        <w:pStyle w:val="Heading3"/>
      </w:pPr>
      <w:r>
        <w:t xml:space="preserve">1.2 Âmbito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Dentro</w:t>
            </w:r>
          </w:p>
        </w:tc>
        <w:tc>
          <w:tcPr/>
          <w:p>
            <w:pPr>
              <w:pStyle w:val="Compact"/>
            </w:pPr>
            <w:r>
              <w:t xml:space="preserve">Fora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bookmarkEnd w:id="50"/>
    <w:bookmarkStart w:id="53" w:name="requisitos"/>
    <w:p>
      <w:pPr>
        <w:pStyle w:val="Heading3"/>
      </w:pPr>
      <w:r>
        <w:t xml:space="preserve">1.3 Requisitos</w:t>
      </w:r>
    </w:p>
    <w:p>
      <w:pPr>
        <w:pStyle w:val="FirstParagraph"/>
      </w:pPr>
      <w:r>
        <w:t xml:space="preserve">Referenciar, não repetir:</w:t>
      </w:r>
      <w:r>
        <w:t xml:space="preserve"> </w:t>
      </w:r>
      <w:hyperlink r:id="rId51">
        <w:r>
          <w:rPr>
            <w:rStyle w:val="Hyperlink"/>
          </w:rPr>
          <w:t xml:space="preserve">Requisitos Funcionais</w:t>
        </w:r>
      </w:hyperlink>
      <w:r>
        <w:t xml:space="preserve"> </w:t>
      </w:r>
      <w:r>
        <w:t xml:space="preserve">e</w:t>
      </w:r>
      <w:r>
        <w:t xml:space="preserve"> </w:t>
      </w:r>
      <w:hyperlink r:id="rId52">
        <w:r>
          <w:rPr>
            <w:rStyle w:val="Hyperlink"/>
          </w:rPr>
          <w:t xml:space="preserve">Não Funcionais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Obrigatório / Desejável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{{RF-01}}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Obrigatório</w:t>
            </w:r>
          </w:p>
        </w:tc>
      </w:tr>
    </w:tbl>
    <w:bookmarkEnd w:id="53"/>
    <w:bookmarkStart w:id="54" w:name="restrições-impostas"/>
    <w:p>
      <w:pPr>
        <w:pStyle w:val="Heading3"/>
      </w:pPr>
      <w:r>
        <w:t xml:space="preserve">1.4 Restrições impostas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Restrição</w:t>
            </w:r>
          </w:p>
        </w:tc>
        <w:tc>
          <w:tcPr/>
          <w:p>
            <w:pPr>
              <w:pStyle w:val="Compact"/>
            </w:pPr>
            <w:r>
              <w:t xml:space="preserve">Porquê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{{Corre na infraestrutura interna}}</w:t>
            </w:r>
          </w:p>
        </w:tc>
        <w:tc>
          <w:tcPr/>
          <w:p>
            <w:pPr>
              <w:pStyle w:val="Compact"/>
            </w:pPr>
            <w:r>
              <w:t xml:space="preserve">{{Política de dados}}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{{Base de dados PostgreSQL já existente}}</w:t>
            </w:r>
          </w:p>
        </w:tc>
        <w:tc>
          <w:tcPr/>
          <w:p>
            <w:pPr>
              <w:pStyle w:val="Compact"/>
            </w:pPr>
            <w:r>
              <w:t xml:space="preserve">{{Partilhada com outros sistemas}}</w:t>
            </w:r>
          </w:p>
        </w:tc>
      </w:tr>
    </w:tbl>
    <w:bookmarkEnd w:id="54"/>
    <w:bookmarkStart w:id="55" w:name="entregas-exigidas"/>
    <w:p>
      <w:pPr>
        <w:pStyle w:val="Heading3"/>
      </w:pPr>
      <w:r>
        <w:t xml:space="preserve">1.5 Entregas exigidas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Entrega</w:t>
            </w:r>
          </w:p>
        </w:tc>
        <w:tc>
          <w:tcPr/>
          <w:p>
            <w:pPr>
              <w:pStyle w:val="Compact"/>
            </w:pPr>
            <w:r>
              <w:t xml:space="preserve">Formato</w:t>
            </w:r>
          </w:p>
        </w:tc>
        <w:tc>
          <w:tcPr/>
          <w:p>
            <w:pPr>
              <w:pStyle w:val="Compact"/>
            </w:pPr>
            <w:r>
              <w:t xml:space="preserve">Quando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Código-fonte</w:t>
            </w:r>
          </w:p>
        </w:tc>
        <w:tc>
          <w:tcPr/>
          <w:p>
            <w:pPr>
              <w:pStyle w:val="Compact"/>
            </w:pPr>
            <w:r>
              <w:t xml:space="preserve">{{Repositório}}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Documentação de arquitetura</w:t>
            </w:r>
          </w:p>
        </w:tc>
        <w:tc>
          <w:tcPr/>
          <w:p>
            <w:pPr>
              <w:pStyle w:val="Compact"/>
            </w:pPr>
            <w:r>
              <w:t xml:space="preserve">{{Markdown}}</w:t>
            </w:r>
          </w:p>
        </w:tc>
        <w:tc>
          <w:tcPr/>
          <w:p>
            <w:pPr>
              <w:pStyle w:val="Compact"/>
            </w:pPr>
            <w:r>
              <w:t xml:space="preserve">{{Com cada versão}}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Testes automáticos</w:t>
            </w:r>
          </w:p>
        </w:tc>
        <w:tc>
          <w:tcPr/>
          <w:p>
            <w:pPr>
              <w:pStyle w:val="Compact"/>
            </w:pPr>
            <w:r>
              <w:t xml:space="preserve">{{Executáveis pelo cliente}}</w:t>
            </w:r>
          </w:p>
        </w:tc>
        <w:tc>
          <w:tcPr/>
          <w:p>
            <w:pPr>
              <w:pStyle w:val="Compact"/>
            </w:pPr>
            <w:r>
              <w:t xml:space="preserve">Contínuo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Manual de operação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{{Antes da entrada em serviço}}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Formação</w:t>
            </w:r>
          </w:p>
        </w:tc>
        <w:tc>
          <w:tcPr/>
          <w:p>
            <w:pPr>
              <w:pStyle w:val="Compact"/>
            </w:pPr>
            <w:r>
              <w:t xml:space="preserve">{{N sessões}}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lockText"/>
      </w:pPr>
      <w:r>
        <w:rPr>
          <w:b/>
          <w:bCs/>
        </w:rPr>
        <w:t xml:space="preserve">A entrega 3 é a mais esquecida e a mais cara de omitir.</w:t>
      </w:r>
      <w:r>
        <w:t xml:space="preserve"> </w:t>
      </w:r>
      <w:r>
        <w:t xml:space="preserve">Sem testes que o</w:t>
      </w:r>
      <w:r>
        <w:t xml:space="preserve"> </w:t>
      </w:r>
      <w:r>
        <w:t xml:space="preserve">cliente possa correr, não há forma de verificar uma correção futura.</w:t>
      </w:r>
    </w:p>
    <w:bookmarkEnd w:id="55"/>
    <w:bookmarkStart w:id="57" w:name="propriedade-e-acesso"/>
    <w:p>
      <w:pPr>
        <w:pStyle w:val="Heading3"/>
      </w:pPr>
      <w:r>
        <w:t xml:space="preserve">1.6 Propriedade e acesso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Fica 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Código-fonte</w:t>
            </w:r>
          </w:p>
        </w:tc>
        <w:tc>
          <w:tcPr/>
          <w:p>
            <w:pPr>
              <w:pStyle w:val="Compact"/>
            </w:pPr>
            <w:r>
              <w:t xml:space="preserve">{{Cliente}}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Direitos de uso e alteração</w:t>
            </w:r>
          </w:p>
        </w:tc>
        <w:tc>
          <w:tcPr/>
          <w:p>
            <w:pPr>
              <w:pStyle w:val="Compact"/>
            </w:pPr>
            <w:r>
              <w:t xml:space="preserve">{{Cliente}}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Cliente, sempre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Acesso ao repositório durante o contrato</w:t>
            </w:r>
          </w:p>
        </w:tc>
        <w:tc>
          <w:tcPr/>
          <w:p>
            <w:pPr>
              <w:pStyle w:val="Compact"/>
            </w:pPr>
            <w:r>
              <w:t xml:space="preserve">{{Ambos}}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Componentes de terceiros</w:t>
            </w:r>
          </w:p>
        </w:tc>
        <w:tc>
          <w:tcPr/>
          <w:p>
            <w:pPr>
              <w:pStyle w:val="Compact"/>
            </w:pPr>
            <w:r>
              <w:t xml:space="preserve">Ver</w:t>
            </w:r>
            <w:r>
              <w:t xml:space="preserve"> </w:t>
            </w:r>
            <w:hyperlink r:id="rId56">
              <w:r>
                <w:rPr>
                  <w:rStyle w:val="Hyperlink"/>
                </w:rPr>
                <w:t xml:space="preserve">Licenças</w:t>
              </w:r>
            </w:hyperlink>
          </w:p>
        </w:tc>
      </w:tr>
    </w:tbl>
    <w:bookmarkEnd w:id="57"/>
    <w:bookmarkStart w:id="58" w:name="critérios-de-avaliação-de-propostas"/>
    <w:p>
      <w:pPr>
        <w:pStyle w:val="Heading3"/>
      </w:pPr>
      <w:r>
        <w:t xml:space="preserve">1.7 Critérios de avaliação de propostas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Critério</w:t>
            </w:r>
          </w:p>
        </w:tc>
        <w:tc>
          <w:tcPr/>
          <w:p>
            <w:pPr>
              <w:pStyle w:val="Compact"/>
            </w:pPr>
            <w:r>
              <w:t xml:space="preserve">Peso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{{Adequação técnica}}</w:t>
            </w:r>
          </w:p>
        </w:tc>
        <w:tc>
          <w:tcPr/>
          <w:p>
            <w:pPr>
              <w:pStyle w:val="Compact"/>
            </w:pPr>
            <w:r>
              <w:t xml:space="preserve">{{40%}}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{{Experiência comprovada em contexto semelhante}}</w:t>
            </w:r>
          </w:p>
        </w:tc>
        <w:tc>
          <w:tcPr/>
          <w:p>
            <w:pPr>
              <w:pStyle w:val="Compact"/>
            </w:pPr>
            <w:r>
              <w:t xml:space="preserve">{{25%}}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{{Preço}}</w:t>
            </w:r>
          </w:p>
        </w:tc>
        <w:tc>
          <w:tcPr/>
          <w:p>
            <w:pPr>
              <w:pStyle w:val="Compact"/>
            </w:pPr>
            <w:r>
              <w:t xml:space="preserve">{{20%}}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{{Prazo}}</w:t>
            </w:r>
          </w:p>
        </w:tc>
        <w:tc>
          <w:tcPr/>
          <w:p>
            <w:pPr>
              <w:pStyle w:val="Compact"/>
            </w:pPr>
            <w:r>
              <w:t xml:space="preserve">{{15%}}</w:t>
            </w:r>
          </w:p>
        </w:tc>
      </w:tr>
    </w:tbl>
    <w:bookmarkEnd w:id="58"/>
    <w:bookmarkStart w:id="59" w:name="aceitação-e-pagamento"/>
    <w:p>
      <w:pPr>
        <w:pStyle w:val="Heading3"/>
      </w:pPr>
      <w:r>
        <w:t xml:space="preserve">1.8 Aceitação e pagamento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Marco</w:t>
            </w:r>
          </w:p>
        </w:tc>
        <w:tc>
          <w:tcPr/>
          <w:p>
            <w:pPr>
              <w:pStyle w:val="Compact"/>
            </w:pPr>
            <w:r>
              <w:t xml:space="preserve">Entrega</w:t>
            </w:r>
          </w:p>
        </w:tc>
        <w:tc>
          <w:tcPr/>
          <w:p>
            <w:pPr>
              <w:pStyle w:val="Compact"/>
            </w:pPr>
            <w:r>
              <w:t xml:space="preserve">% do valor</w:t>
            </w:r>
          </w:p>
        </w:tc>
        <w:tc>
          <w:tcPr/>
          <w:p>
            <w:pPr>
              <w:pStyle w:val="Compact"/>
            </w:pPr>
            <w:r>
              <w:t xml:space="preserve">Critério de aceitação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{{M1}}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{{20%}}</w:t>
            </w:r>
          </w:p>
        </w:tc>
        <w:tc>
          <w:tcPr/>
          <w:p>
            <w:pPr>
              <w:pStyle w:val="Compact"/>
            </w:pPr>
            <w:r>
              <w:t xml:space="preserve">{{verificável, não subjetivo}}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1" w:name="registo-de-fornecedores"/>
    <w:p>
      <w:pPr>
        <w:pStyle w:val="Heading2"/>
      </w:pPr>
      <w:r>
        <w:t xml:space="preserve">2. Registo de fornecedores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Fornecedor</w:t>
            </w:r>
          </w:p>
        </w:tc>
        <w:tc>
          <w:tcPr/>
          <w:p>
            <w:pPr>
              <w:pStyle w:val="Compact"/>
            </w:pPr>
            <w:r>
              <w:t xml:space="preserve">Serviço</w:t>
            </w:r>
          </w:p>
        </w:tc>
        <w:tc>
          <w:tcPr/>
          <w:p>
            <w:pPr>
              <w:pStyle w:val="Compact"/>
            </w:pPr>
            <w:r>
              <w:t xml:space="preserve">Contrato até</w:t>
            </w:r>
          </w:p>
        </w:tc>
        <w:tc>
          <w:tcPr/>
          <w:p>
            <w:pPr>
              <w:pStyle w:val="Compact"/>
            </w:pPr>
            <w:r>
              <w:t xml:space="preserve">Criticidade</w:t>
            </w:r>
          </w:p>
        </w:tc>
        <w:tc>
          <w:tcPr/>
          <w:p>
            <w:pPr>
              <w:pStyle w:val="Compac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{{Alojamento}}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{{Envio de e-mail}}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Média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Criticidade alta</w:t>
      </w:r>
      <w:r>
        <w:t xml:space="preserve"> </w:t>
      </w:r>
      <w:r>
        <w:t xml:space="preserve">= o serviço para se este fornecedor parar.</w:t>
      </w:r>
    </w:p>
    <w:p>
      <w:r>
        <w:pict>
          <v:rect style="width:0;height:1.5pt" o:hralign="center" o:hrstd="t" o:hr="t"/>
        </w:pict>
      </w:r>
    </w:p>
    <w:bookmarkEnd w:id="61"/>
    <w:bookmarkStart w:id="62" w:name="avaliação-de-risco-por-fornecedor"/>
    <w:p>
      <w:pPr>
        <w:pStyle w:val="Heading2"/>
      </w:pPr>
      <w:r>
        <w:t xml:space="preserve">3. Avaliação de risco por fornecedor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Pergunta</w:t>
            </w:r>
          </w:p>
        </w:tc>
        <w:tc>
          <w:tcPr/>
          <w:p>
            <w:pPr>
              <w:pStyle w:val="Compact"/>
            </w:pPr>
            <w:r>
              <w:t xml:space="preserve">{{Fornecedor 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Onde ficam os dados (país)?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É subcontratante RGPD? Há contrato assinado?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 SLA oferece?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 acontece se encerrar?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 dados podem ser exportados? Em que formato?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Quanto custa sair?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dependência-e-saída"/>
    <w:p>
      <w:pPr>
        <w:pStyle w:val="Heading2"/>
      </w:pPr>
      <w:r>
        <w:t xml:space="preserve">4. Dependência e saída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Fornecedor</w:t>
            </w:r>
          </w:p>
        </w:tc>
        <w:tc>
          <w:tcPr/>
          <w:p>
            <w:pPr>
              <w:pStyle w:val="Compact"/>
            </w:pPr>
            <w:r>
              <w:t xml:space="preserve">Nível de dependência</w:t>
            </w:r>
          </w:p>
        </w:tc>
        <w:tc>
          <w:tcPr/>
          <w:p>
            <w:pPr>
              <w:pStyle w:val="Compact"/>
            </w:pPr>
            <w:r>
              <w:t xml:space="preserve">Alternativa</w:t>
            </w:r>
          </w:p>
        </w:tc>
        <w:tc>
          <w:tcPr/>
          <w:p>
            <w:pPr>
              <w:pStyle w:val="Compact"/>
            </w:pPr>
            <w:r>
              <w:t xml:space="preserve">Esforço para mudar</w:t>
            </w:r>
          </w:p>
        </w:tc>
        <w:tc>
          <w:tcPr/>
          <w:p>
            <w:pPr>
              <w:pStyle w:val="Compact"/>
            </w:pPr>
            <w:r>
              <w:t xml:space="preserve">Plano de saída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{{Alto}}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</w:tbl>
    <w:p>
      <w:pPr>
        <w:pStyle w:val="BlockText"/>
      </w:pPr>
      <w:r>
        <w:t xml:space="preserve">A pergunta a fazer antes de assinar, não depois:</w:t>
      </w:r>
      <w:r>
        <w:t xml:space="preserve"> </w:t>
      </w:r>
      <w:r>
        <w:rPr>
          <w:b/>
          <w:bCs/>
        </w:rPr>
        <w:t xml:space="preserve">como é que saio daqui?</w:t>
      </w:r>
      <w:r>
        <w:t xml:space="preserve"> </w:t>
      </w:r>
      <w:r>
        <w:t xml:space="preserve">Se a resposta for</w:t>
      </w:r>
      <w:r>
        <w:t xml:space="preserve"> </w:t>
      </w:r>
      <w:r>
        <w:t xml:space="preserve">“não sei”</w:t>
      </w:r>
      <w:r>
        <w:t xml:space="preserve">, o preço da entrada não é o preço real.</w:t>
      </w:r>
    </w:p>
    <w:bookmarkEnd w:id="63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51" Target="../01-requisitos/02-requisitos-funcionais.md" TargetMode="External" /><Relationship Type="http://schemas.openxmlformats.org/officeDocument/2006/relationships/hyperlink" Id="rId52" Target="../01-requisitos/03-requisitos-nao-funcionais.md" TargetMode="External" /><Relationship Type="http://schemas.openxmlformats.org/officeDocument/2006/relationships/hyperlink" Id="rId56" Target="04-licencas-e-terceiro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../01-requisitos/02-requisitos-funcionais.md" TargetMode="External" /><Relationship Type="http://schemas.openxmlformats.org/officeDocument/2006/relationships/hyperlink" Id="rId52" Target="../01-requisitos/03-requisitos-nao-funcionais.md" TargetMode="External" /><Relationship Type="http://schemas.openxmlformats.org/officeDocument/2006/relationships/hyperlink" Id="rId56" Target="04-licencas-e-terceiro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Contratação e Fornecedores — {{PROJETO}}</dc:title>
  <dc:creator/>
  <dc:language>pt-PT</dc:language>
  <cp:keywords/>
  <dcterms:created xsi:type="dcterms:W3CDTF">2026-08-24T14:49:13Z</dcterms:created>
  <dcterms:modified xsi:type="dcterms:W3CDTF">2026-08-24T14:49:13Z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