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Auditoria e Conformidade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Revisão:</w:t>
      </w:r>
      <w:r>
        <w:t xml:space="preserve"> </w:t>
      </w:r>
      <w:r>
        <w:t xml:space="preserve">{{anual}}</w:t>
      </w:r>
    </w:p>
    <w:p>
      <w:r>
        <w:pict>
          <v:rect style="width:0;height:1.5pt" o:hralign="center" o:hrstd="t" o:hr="t"/>
        </w:pict>
      </w:r>
    </w:p>
    <w:bookmarkStart w:id="49" w:name="obrigações-aplicáveis"/>
    <w:p>
      <w:pPr>
        <w:pStyle w:val="Heading2"/>
      </w:pPr>
      <w:r>
        <w:t xml:space="preserve">1. Obrigações aplicáveis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 / obrigação</w:t>
            </w:r>
          </w:p>
        </w:tc>
        <w:tc>
          <w:tcPr/>
          <w:p>
            <w:pPr>
              <w:pStyle w:val="Compact"/>
            </w:pPr>
            <w:r>
              <w:t xml:space="preserve">Aplica-se porquê</w:t>
            </w:r>
          </w:p>
        </w:tc>
        <w:tc>
          <w:tcPr/>
          <w:p>
            <w:pPr>
              <w:pStyle w:val="Compact"/>
            </w:pPr>
            <w:r>
              <w:t xml:space="preserve">Quem verifica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{{RGPD}}</w:t>
            </w:r>
          </w:p>
        </w:tc>
        <w:tc>
          <w:tcPr/>
          <w:p>
            <w:pPr>
              <w:pStyle w:val="Compact"/>
            </w:pPr>
            <w:r>
              <w:t xml:space="preserve">{{Trata dados pessoais}}</w:t>
            </w:r>
          </w:p>
        </w:tc>
        <w:tc>
          <w:tcPr/>
          <w:p>
            <w:pPr>
              <w:pStyle w:val="Compact"/>
            </w:pPr>
            <w:r>
              <w:t xml:space="preserve">{{DPO}}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{{Acessibilidade — DL 83/2018}}</w:t>
            </w:r>
          </w:p>
        </w:tc>
        <w:tc>
          <w:tcPr/>
          <w:p>
            <w:pPr>
              <w:pStyle w:val="Compact"/>
            </w:pPr>
            <w:r>
              <w:t xml:space="preserve">{{Serviço público}}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{{Política interna de segurança}}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{{Semestral}}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{{ISO 27001 / SOC 2}}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{{Auditor externo}}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3" w:name="X6b5e8d1a46a4593d330bda4e2267fdea197dce5"/>
    <w:p>
      <w:pPr>
        <w:pStyle w:val="Heading2"/>
      </w:pPr>
      <w:r>
        <w:t xml:space="preserve">2. Registo de auditoria (audit log) da aplicação</w:t>
      </w:r>
    </w:p>
    <w:bookmarkStart w:id="50" w:name="o-que-se-regista"/>
    <w:p>
      <w:pPr>
        <w:pStyle w:val="Heading3"/>
      </w:pPr>
      <w:r>
        <w:t xml:space="preserve">2.1 O que se regista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Registado</w:t>
            </w:r>
          </w:p>
        </w:tc>
        <w:tc>
          <w:tcPr/>
          <w:p>
            <w:pPr>
              <w:pStyle w:val="Compact"/>
            </w:pPr>
            <w:r>
              <w:t xml:space="preserve">Retenção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 e saída de sessão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{{1 ano}}</w:t>
            </w:r>
          </w:p>
        </w:tc>
        <w:tc>
          <w:tcPr/>
          <w:p>
            <w:pPr>
              <w:pStyle w:val="Compact"/>
            </w:pPr>
            <w:r>
              <w:t xml:space="preserve">{{Segurança}}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Tentativa de entrada falhada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{{1 ano}}</w:t>
            </w:r>
          </w:p>
        </w:tc>
        <w:tc>
          <w:tcPr/>
          <w:p>
            <w:pPr>
              <w:pStyle w:val="Compact"/>
            </w:pPr>
            <w:r>
              <w:t xml:space="preserve">{{Deteção de ataque}}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Alteração de dados pessoais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{{5 anos}}</w:t>
            </w:r>
          </w:p>
        </w:tc>
        <w:tc>
          <w:tcPr/>
          <w:p>
            <w:pPr>
              <w:pStyle w:val="Compact"/>
            </w:pPr>
            <w:r>
              <w:t xml:space="preserve">{{RGPD}}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Alteração de permissões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{{5 anos}}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 de dados sensíveis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Exportação de dados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{{5 anos}}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Eliminação de registos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{{5 anos}}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0"/>
    <w:bookmarkStart w:id="51" w:name="o-que-cada-entrada-contém"/>
    <w:p>
      <w:pPr>
        <w:pStyle w:val="Heading3"/>
      </w:pPr>
      <w:r>
        <w:t xml:space="preserve">2.2 O que cada entrada contém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{{ISO 8601 com fuso}}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{{id do utilizador — não o nome, que muda}}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quê</w:t>
            </w:r>
          </w:p>
        </w:tc>
        <w:tc>
          <w:tcPr/>
          <w:p>
            <w:pPr>
              <w:pStyle w:val="Compact"/>
            </w:pPr>
            <w:r>
              <w:t xml:space="preserve">{{ação}}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Sobre o quê</w:t>
            </w:r>
          </w:p>
        </w:tc>
        <w:tc>
          <w:tcPr/>
          <w:p>
            <w:pPr>
              <w:pStyle w:val="Compact"/>
            </w:pPr>
            <w:r>
              <w:t xml:space="preserve">{{tipo + id do objeto}}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antes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 para alterações}}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depois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 para alterações}}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 onde</w:t>
            </w:r>
          </w:p>
        </w:tc>
        <w:tc>
          <w:tcPr/>
          <w:p>
            <w:pPr>
              <w:pStyle w:val="Compact"/>
            </w:pPr>
            <w:r>
              <w:t xml:space="preserve">{{IP, aplicação}}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1"/>
    <w:bookmarkStart w:id="52" w:name="regras"/>
    <w:p>
      <w:pPr>
        <w:pStyle w:val="Heading3"/>
      </w:pPr>
      <w:r>
        <w:t xml:space="preserve">2.3 Regras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Imutável</w:t>
            </w:r>
            <w:r>
              <w:t xml:space="preserve"> </w:t>
            </w:r>
            <w:r>
              <w:t xml:space="preserve">— só se acrescenta, nunca se altera nem se apaga</w:t>
            </w:r>
          </w:p>
        </w:tc>
        <w:tc>
          <w:tcPr/>
          <w:p>
            <w:pPr>
              <w:pStyle w:val="Compact"/>
            </w:pPr>
            <w:r>
              <w:t xml:space="preserve">Um registo alterável não prova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é auditado não pode apagar o seu registo</w:t>
            </w:r>
          </w:p>
        </w:tc>
        <w:tc>
          <w:tcPr/>
          <w:p>
            <w:pPr>
              <w:pStyle w:val="Compact"/>
            </w:pPr>
            <w:r>
              <w:t xml:space="preserve">Separação de funções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Nunca contém passwords, tokens ou dados sensíveis em claro</w:t>
            </w:r>
          </w:p>
        </w:tc>
        <w:tc>
          <w:tcPr/>
          <w:p>
            <w:pPr>
              <w:pStyle w:val="Compact"/>
            </w:pPr>
            <w:r>
              <w:t xml:space="preserve">O próprio registo passaria a ser um risco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Falha de escrita do registo é um incidente</w:t>
            </w:r>
          </w:p>
        </w:tc>
        <w:tc>
          <w:tcPr/>
          <w:p>
            <w:pPr>
              <w:pStyle w:val="Compact"/>
            </w:pPr>
            <w:r>
              <w:t xml:space="preserve">Silêncio não é conformidade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calendário"/>
    <w:p>
      <w:pPr>
        <w:pStyle w:val="Heading2"/>
      </w:pPr>
      <w:r>
        <w:t xml:space="preserve">3. Calendário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Evidência produzida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Revisão de acessos e permissões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{{Lista revista e assinada}}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Teste de restauro de cópias de segurança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{{Relatório de exercício}}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Análise de vulnerabilidades</w:t>
            </w:r>
          </w:p>
        </w:tc>
        <w:tc>
          <w:tcPr/>
          <w:p>
            <w:pPr>
              <w:pStyle w:val="Compact"/>
            </w:pPr>
            <w:r>
              <w:t xml:space="preserve">{{Mensal}}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{{Relatório}}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Revisão do registo de tratamentos RGPD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  <w:tc>
          <w:tcPr/>
          <w:p>
            <w:pPr>
              <w:pStyle w:val="Compact"/>
            </w:pPr>
            <w:r>
              <w:t xml:space="preserve">{{DPO}}</w:t>
            </w:r>
          </w:p>
        </w:tc>
        <w:tc>
          <w:tcPr/>
          <w:p>
            <w:pPr>
              <w:pStyle w:val="Compact"/>
            </w:pPr>
            <w:r>
              <w:t xml:space="preserve">{{Registo atualizado}}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Verificação de acessibilidade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{{Declaração}}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Revisão de licenças de terceiros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{{SBOM}}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Teste de intrusão</w:t>
            </w:r>
          </w:p>
        </w:tc>
        <w:tc>
          <w:tcPr/>
          <w:p>
            <w:pPr>
              <w:pStyle w:val="Compact"/>
            </w:pPr>
            <w:r>
              <w:t xml:space="preserve">{{Anual}}</w:t>
            </w:r>
          </w:p>
        </w:tc>
        <w:tc>
          <w:tcPr/>
          <w:p>
            <w:pPr>
              <w:pStyle w:val="Compact"/>
            </w:pPr>
            <w:r>
              <w:t xml:space="preserve">{{Externo}}</w:t>
            </w:r>
          </w:p>
        </w:tc>
        <w:tc>
          <w:tcPr/>
          <w:p>
            <w:pPr>
              <w:pStyle w:val="Compact"/>
            </w:pPr>
            <w:r>
              <w:t xml:space="preserve">{{Relatório}}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revisão-de-acessos"/>
    <w:p>
      <w:pPr>
        <w:pStyle w:val="Heading2"/>
      </w:pPr>
      <w:r>
        <w:t xml:space="preserve">4. Revisão de acessos</w:t>
      </w:r>
    </w:p>
    <w:p>
      <w:pPr>
        <w:pStyle w:val="FirstParagraph"/>
      </w:pPr>
      <w:r>
        <w:t xml:space="preserve">O controlo com melhor relação entre esforço e risco evitado.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Extrair a lista de contas ativas e respetivos papéis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Cruzar com a lista de pessoas ao serviço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Desactivar contas de quem saiu —</w:t>
            </w:r>
            <w:r>
              <w:t xml:space="preserve"> </w:t>
            </w:r>
            <w:r>
              <w:rPr>
                <w:b/>
                <w:bCs/>
              </w:rPr>
              <w:t xml:space="preserve">verificar a data de saída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Confirmar que ninguém tem mais permissões do que o papel exige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Registar quem reviu e quando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-- Contas ativas sem entrada há mais de 90 dias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username, last_login, </w:t>
      </w:r>
      <w:r>
        <w:rPr>
          <w:rStyle w:val="KeywordTok"/>
        </w:rPr>
        <w:t xml:space="preserve">role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{{accounts_user}}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is_active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(last_login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last_login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 days'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last_login </w:t>
      </w:r>
      <w:r>
        <w:rPr>
          <w:rStyle w:val="KeywordTok"/>
        </w:rPr>
        <w:t xml:space="preserve">NULLS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5"/>
    <w:bookmarkStart w:id="56" w:name="registo-de-conclusões"/>
    <w:p>
      <w:pPr>
        <w:pStyle w:val="Heading2"/>
      </w:pPr>
      <w:r>
        <w:t xml:space="preserve">5. Registo de conclusões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Conclusão</w:t>
            </w:r>
          </w:p>
        </w:tc>
        <w:tc>
          <w:tcPr/>
          <w:p>
            <w:pPr>
              <w:pStyle w:val="Compact"/>
            </w:pPr>
            <w: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{{A1}}</w:t>
            </w:r>
          </w:p>
        </w:tc>
        <w:tc>
          <w:tcPr/>
          <w:p>
            <w:pPr>
              <w:pStyle w:val="Compact"/>
            </w:pPr>
            <w:r>
              <w:t xml:space="preserve">{{3 contas de ex-colaboradores ativas}}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{{Desactivar + rever processo de saída}}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3" w:name="preparação-para-auditoria-externa"/>
    <w:p>
      <w:pPr>
        <w:pStyle w:val="Heading2"/>
      </w:pPr>
      <w:r>
        <w:t xml:space="preserve">6. Preparação para auditoria externa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 a ter pronto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 de tratamentos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RGPD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Modelo de ameaças e controlos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Segurança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Matriz de riscos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Riscos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Inventário de terceiros e SBOM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Licenças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Evidências das verificações da §3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 de incidentes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Incidentes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Comprovativo de restauro testado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Cópia de segurança e DR</w:t>
              </w:r>
            </w:hyperlink>
          </w:p>
        </w:tc>
      </w:tr>
    </w:tbl>
    <w:bookmarkEnd w:id="6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61" Target="../06-operacao/03-incidentes-e-analise-posterior.md" TargetMode="External" /><Relationship Type="http://schemas.openxmlformats.org/officeDocument/2006/relationships/hyperlink" Id="rId62" Target="../06-operacao/05-copias-de-seguranca-e-recuperacao.md" TargetMode="External" /><Relationship Type="http://schemas.openxmlformats.org/officeDocument/2006/relationships/hyperlink" Id="rId58" Target="01-seguranca.md" TargetMode="External" /><Relationship Type="http://schemas.openxmlformats.org/officeDocument/2006/relationships/hyperlink" Id="rId57" Target="02-privacidade-rgpd.md" TargetMode="External" /><Relationship Type="http://schemas.openxmlformats.org/officeDocument/2006/relationships/hyperlink" Id="rId59" Target="03-matriz-riscos.md" TargetMode="External" /><Relationship Type="http://schemas.openxmlformats.org/officeDocument/2006/relationships/hyperlink" Id="rId60" Target="04-licencas-e-terceir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../06-operacao/03-incidentes-e-analise-posterior.md" TargetMode="External" /><Relationship Type="http://schemas.openxmlformats.org/officeDocument/2006/relationships/hyperlink" Id="rId62" Target="../06-operacao/05-copias-de-seguranca-e-recuperacao.md" TargetMode="External" /><Relationship Type="http://schemas.openxmlformats.org/officeDocument/2006/relationships/hyperlink" Id="rId58" Target="01-seguranca.md" TargetMode="External" /><Relationship Type="http://schemas.openxmlformats.org/officeDocument/2006/relationships/hyperlink" Id="rId57" Target="02-privacidade-rgpd.md" TargetMode="External" /><Relationship Type="http://schemas.openxmlformats.org/officeDocument/2006/relationships/hyperlink" Id="rId59" Target="03-matriz-riscos.md" TargetMode="External" /><Relationship Type="http://schemas.openxmlformats.org/officeDocument/2006/relationships/hyperlink" Id="rId60" Target="04-licencas-e-terceir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Auditoria e Conformidade — {{PROJETO}}</dc:title>
  <dc:creator/>
  <dc:language>pt-PT</dc:language>
  <cp:keywords/>
  <dcterms:created xsi:type="dcterms:W3CDTF">2026-08-24T14:49:13Z</dcterms:created>
  <dcterms:modified xsi:type="dcterms:W3CDTF">2026-08-24T14:49:13Z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