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7.png" ContentType="image/png"/>
  <Override PartName="/word/media/rId62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Uso — {{Nome do Sistema}}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Autor: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{{Rascunho | Em revisão | Aprovado}}</w:t>
      </w:r>
    </w:p>
    <w:p>
      <w:r>
        <w:pict>
          <v:rect style="width:0;height:1.5pt" o:hralign="center" o:hrstd="t" o:hr="t"/>
        </w:pict>
      </w:r>
    </w:p>
    <w:bookmarkStart w:id="53" w:name="como-usar-este-modelo"/>
    <w:p>
      <w:pPr>
        <w:pStyle w:val="Heading2"/>
      </w:pPr>
      <w:r>
        <w:t xml:space="preserve">1. Como usar este modelo</w:t>
      </w:r>
    </w:p>
    <w:bookmarkStart w:id="49" w:name="o-que-é-e-o-que-não-é-um-caso-de-uso"/>
    <w:p>
      <w:pPr>
        <w:pStyle w:val="Heading3"/>
      </w:pPr>
      <w:r>
        <w:t xml:space="preserve">O que é — e o que não é — um caso de uso</w:t>
      </w:r>
    </w:p>
    <w:p>
      <w:pPr>
        <w:pStyle w:val="FirstParagraph"/>
      </w:pPr>
      <w:r>
        <w:t xml:space="preserve">Um caso de uso descreve</w:t>
      </w:r>
      <w:r>
        <w:t xml:space="preserve"> </w:t>
      </w:r>
      <w:r>
        <w:rPr>
          <w:b/>
          <w:bCs/>
        </w:rPr>
        <w:t xml:space="preserve">um objetivo que um ator alcança com o sistema</w:t>
      </w:r>
      <w:r>
        <w:t xml:space="preserve">, do princípio ao fim, incluindo tudo o que pode correr mal pelo caminho. Não é uma lista de ecrãs, não é uma funcionalidade, e não é a descrição de como o sistema está construído por dentro.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 um caso de uso</w:t>
            </w:r>
          </w:p>
        </w:tc>
        <w:tc>
          <w:tcPr/>
          <w:p>
            <w:pPr>
              <w:pStyle w:val="Compact"/>
            </w:pPr>
            <w:r>
              <w:t xml:space="preserve">Não é um caso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«Criar encomenda» — o cliente sai com uma encomenda registada</w:t>
            </w:r>
          </w:p>
        </w:tc>
        <w:tc>
          <w:tcPr/>
          <w:p>
            <w:pPr>
              <w:pStyle w:val="Compact"/>
            </w:pPr>
            <w:r>
              <w:t xml:space="preserve">«Ecrã de encomendas» — é um ecrã, não um objetivo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«Aprovar encomenda» — o gestor decide e o estado muda</w:t>
            </w:r>
          </w:p>
        </w:tc>
        <w:tc>
          <w:tcPr/>
          <w:p>
            <w:pPr>
              <w:pStyle w:val="Compact"/>
            </w:pPr>
            <w:r>
              <w:t xml:space="preserve">«Gerir encomendas» — demasiado vago, esconde 5 objetivos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«Autenticar utilizador» — sub-função reutilizada por outros casos</w:t>
            </w:r>
          </w:p>
        </w:tc>
        <w:tc>
          <w:tcPr/>
          <w:p>
            <w:pPr>
              <w:pStyle w:val="Compact"/>
            </w:pPr>
            <w:r>
              <w:t xml:space="preserve">«Validar o campo e-mail» — é uma regra, vive em</w:t>
            </w:r>
            <w:r>
              <w:t xml:space="preserve"> </w:t>
            </w:r>
            <w:r>
              <w:rPr>
                <w:rStyle w:val="VerbatimChar"/>
              </w:rPr>
              <w:t xml:space="preserve">05-regras-negocio</w:t>
            </w:r>
          </w:p>
        </w:tc>
      </w:tr>
    </w:tbl>
    <w:bookmarkEnd w:id="49"/>
    <w:bookmarkStart w:id="50" w:name="níveis"/>
    <w:p>
      <w:pPr>
        <w:pStyle w:val="Heading3"/>
      </w:pPr>
      <w:r>
        <w:t xml:space="preserve">Níveis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Nuvem</w:t>
            </w:r>
          </w:p>
        </w:tc>
        <w:tc>
          <w:tcPr/>
          <w:p>
            <w:pPr>
              <w:pStyle w:val="Compact"/>
            </w:pPr>
            <w:r>
              <w:t xml:space="preserve">Vários objetivos, visão de negócio</w:t>
            </w:r>
          </w:p>
        </w:tc>
        <w:tc>
          <w:tcPr/>
          <w:p>
            <w:pPr>
              <w:pStyle w:val="Compact"/>
            </w:pPr>
            <w:r>
              <w:t xml:space="preserve">«Cumprir uma encomenda de cliente»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de utilizador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nível normal. Uma pessoa, uma sessão, 2 a 20 minutos</w:t>
            </w:r>
          </w:p>
        </w:tc>
        <w:tc>
          <w:tcPr/>
          <w:p>
            <w:pPr>
              <w:pStyle w:val="Compact"/>
            </w:pPr>
            <w:r>
              <w:t xml:space="preserve">«Criar encomenda»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Sub-função</w:t>
            </w:r>
          </w:p>
        </w:tc>
        <w:tc>
          <w:tcPr/>
          <w:p>
            <w:pPr>
              <w:pStyle w:val="Compact"/>
            </w:pPr>
            <w:r>
              <w:t xml:space="preserve">Peixe</w:t>
            </w:r>
          </w:p>
        </w:tc>
        <w:tc>
          <w:tcPr/>
          <w:p>
            <w:pPr>
              <w:pStyle w:val="Compact"/>
            </w:pPr>
            <w:r>
              <w:t xml:space="preserve">Passo reutilizado, só existe ao serviço de outro caso</w:t>
            </w:r>
          </w:p>
        </w:tc>
        <w:tc>
          <w:tcPr/>
          <w:p>
            <w:pPr>
              <w:pStyle w:val="Compact"/>
            </w:pPr>
            <w:r>
              <w:t xml:space="preserve">«Validar stock»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Escreve ao nível do mar.</w:t>
      </w:r>
      <w:r>
        <w:t xml:space="preserve"> </w:t>
      </w:r>
      <w:r>
        <w:t xml:space="preserve">Sobe ao resumo só para enquadrar; desce à sub-função só quando o passo é partilhado por três ou mais casos (senão fica como passo do fluxo principal).</w:t>
      </w:r>
    </w:p>
    <w:bookmarkEnd w:id="50"/>
    <w:bookmarkStart w:id="51" w:name="convenções"/>
    <w:p>
      <w:pPr>
        <w:pStyle w:val="Heading3"/>
      </w:pPr>
      <w:r>
        <w:t xml:space="preserve">Convenções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Convenção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UC-NN</w:t>
            </w:r>
            <w:r>
              <w:t xml:space="preserve">, sequencial,</w:t>
            </w:r>
            <w:r>
              <w:t xml:space="preserve"> </w:t>
            </w:r>
            <w:r>
              <w:rPr>
                <w:b/>
                <w:bCs/>
              </w:rPr>
              <w:t xml:space="preserve">nunca reatribuído</w:t>
            </w:r>
            <w:r>
              <w:t xml:space="preserve">. Um caso eliminado fica no índice com estado</w:t>
            </w:r>
            <w:r>
              <w:t xml:space="preserve"> </w:t>
            </w:r>
            <w:r>
              <w:rPr>
                <w:i/>
                <w:iCs/>
              </w:rPr>
              <w:t xml:space="preserve">Retirado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Verbo no infinitivo + objeto, na linguagem do negócio: «Cancelar encomenda»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O papel, não a pessoa nem o cargo: «Gestor de Encomendas», não «a Dra. {{Nome}}»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Passos</w:t>
            </w:r>
          </w:p>
        </w:tc>
        <w:tc>
          <w:tcPr/>
          <w:p>
            <w:pPr>
              <w:pStyle w:val="Compact"/>
            </w:pPr>
            <w:r>
              <w:t xml:space="preserve">Voz ativa, presente, um passo = uma intenção. Alternam ator e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Referências cruzadas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RF-</w:t>
            </w:r>
            <w:r>
              <w:t xml:space="preserve"> </w:t>
            </w:r>
            <w:r>
              <w:t xml:space="preserve">requisitos funcionais ·</w:t>
            </w:r>
            <w:r>
              <w:t xml:space="preserve"> </w:t>
            </w:r>
            <w:r>
              <w:rPr>
                <w:rStyle w:val="VerbatimChar"/>
              </w:rPr>
              <w:t xml:space="preserve">RNF-</w:t>
            </w:r>
            <w:r>
              <w:t xml:space="preserve"> </w:t>
            </w:r>
            <w:r>
              <w:t xml:space="preserve">não funcionais ·</w:t>
            </w:r>
            <w:r>
              <w:t xml:space="preserve"> </w:t>
            </w:r>
            <w:r>
              <w:rPr>
                <w:rStyle w:val="VerbatimChar"/>
              </w:rPr>
              <w:t xml:space="preserve">RN-</w:t>
            </w:r>
            <w:r>
              <w:t xml:space="preserve"> </w:t>
            </w:r>
            <w:r>
              <w:t xml:space="preserve">regras de negócio ·</w:t>
            </w:r>
            <w:r>
              <w:t xml:space="preserve"> </w:t>
            </w:r>
            <w:r>
              <w:rPr>
                <w:rStyle w:val="VerbatimChar"/>
              </w:rPr>
              <w:t xml:space="preserve">TC-</w:t>
            </w:r>
            <w:r>
              <w:t xml:space="preserve"> </w:t>
            </w:r>
            <w:r>
              <w:t xml:space="preserve">casos de teste ·</w:t>
            </w:r>
            <w:r>
              <w:t xml:space="preserve"> </w:t>
            </w:r>
            <w:r>
              <w:rPr>
                <w:rStyle w:val="VerbatimChar"/>
              </w:rPr>
              <w:t xml:space="preserve">E-</w:t>
            </w:r>
            <w:r>
              <w:t xml:space="preserve"> </w:t>
            </w:r>
            <w:r>
              <w:t xml:space="preserve">ecrãs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Marcas de preenchimento</w:t>
            </w:r>
          </w:p>
        </w:tc>
        <w:tc>
          <w:tcPr/>
          <w:p>
            <w:pPr>
              <w:pStyle w:val="Compact"/>
            </w:pPr>
            <w:r>
              <w:t xml:space="preserve">Tudo entre</w:t>
            </w:r>
            <w:r>
              <w:t xml:space="preserve"> </w:t>
            </w:r>
            <w:r>
              <w:rPr>
                <w:rStyle w:val="VerbatimChar"/>
              </w:rPr>
              <w:t xml:space="preserve">{{ }}</w:t>
            </w:r>
            <w:r>
              <w:t xml:space="preserve"> </w:t>
            </w:r>
            <w:r>
              <w:t xml:space="preserve">é para substituir. Um modelo entregue com</w:t>
            </w:r>
            <w:r>
              <w:t xml:space="preserve"> </w:t>
            </w:r>
            <w:r>
              <w:rPr>
                <w:rStyle w:val="VerbatimChar"/>
              </w:rPr>
              <w:t xml:space="preserve">{{ }}</w:t>
            </w:r>
            <w:r>
              <w:t xml:space="preserve"> </w:t>
            </w:r>
            <w:r>
              <w:t xml:space="preserve">está por acabar</w:t>
            </w:r>
          </w:p>
        </w:tc>
      </w:tr>
    </w:tbl>
    <w:bookmarkEnd w:id="51"/>
    <w:bookmarkStart w:id="52" w:name="anatomia-de-um-caso-de-uso"/>
    <w:p>
      <w:pPr>
        <w:pStyle w:val="Heading3"/>
      </w:pPr>
      <w:r>
        <w:t xml:space="preserve">Anatomia de um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Responde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 de identificação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Quem, o quê, que prioridade, ligado a que requisitos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Interessados e interesses</w:t>
            </w:r>
          </w:p>
        </w:tc>
        <w:tc>
          <w:tcPr/>
          <w:p>
            <w:pPr>
              <w:pStyle w:val="Compact"/>
            </w:pPr>
            <w:r>
              <w:t xml:space="preserve">Recomendado</w:t>
            </w:r>
          </w:p>
        </w:tc>
        <w:tc>
          <w:tcPr/>
          <w:p>
            <w:pPr>
              <w:pStyle w:val="Compact"/>
            </w:pPr>
            <w:r>
              <w:t xml:space="preserve">Quem se importa com o resultado, e 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O que tem de ser verdade para começar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Garantia mínima e pós-condições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Em que estado fica o sistema — corra bem ou 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Gatilho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O que dá início ao caso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principal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O caminho feliz, passo a passo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Pontos de extensão</w:t>
            </w:r>
          </w:p>
        </w:tc>
        <w:tc>
          <w:tcPr/>
          <w:p>
            <w:pPr>
              <w:pStyle w:val="Compact"/>
            </w:pPr>
            <w:r>
              <w:t xml:space="preserve">Se houver</w:t>
            </w:r>
            <w:r>
              <w:t xml:space="preserve"> </w:t>
            </w:r>
            <w:r>
              <w:rPr>
                <w:rStyle w:val="VerbatimChar"/>
              </w:rPr>
              <w:t xml:space="preserve">extend</w:t>
            </w:r>
          </w:p>
        </w:tc>
        <w:tc>
          <w:tcPr/>
          <w:p>
            <w:pPr>
              <w:pStyle w:val="Compact"/>
            </w:pPr>
            <w:r>
              <w:t xml:space="preserve">Onde outros casos se enxertam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Fluxos alternativos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Outros caminhos que também chegam ao objetivo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Fluxos de exceção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Caminhos em que o objetivo falha, e o que fica registado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Variações de tecnologia e de dados</w:t>
            </w:r>
          </w:p>
        </w:tc>
        <w:tc>
          <w:tcPr/>
          <w:p>
            <w:pPr>
              <w:pStyle w:val="Compact"/>
            </w:pPr>
            <w:r>
              <w:t xml:space="preserve">Recomendado</w:t>
            </w:r>
          </w:p>
        </w:tc>
        <w:tc>
          <w:tcPr/>
          <w:p>
            <w:pPr>
              <w:pStyle w:val="Compact"/>
            </w:pPr>
            <w:r>
              <w:t xml:space="preserve">Que formas o mesmo passo pode tomar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especiais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Desempenho, segurança, acessibilidade aplicáveis a este caso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Permissões</w:t>
            </w:r>
          </w:p>
        </w:tc>
        <w:tc>
          <w:tcPr/>
          <w:p>
            <w:pPr>
              <w:pStyle w:val="Compact"/>
            </w:pPr>
            <w:r>
              <w:t xml:space="preserve">Se houver perfis</w:t>
            </w:r>
          </w:p>
        </w:tc>
        <w:tc>
          <w:tcPr/>
          <w:p>
            <w:pPr>
              <w:pStyle w:val="Compact"/>
            </w:pPr>
            <w:r>
              <w:t xml:space="preserve">Quem pode fazer o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envolvidos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Campos, tipos, validações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Mensagens ao utilizador</w:t>
            </w:r>
          </w:p>
        </w:tc>
        <w:tc>
          <w:tcPr/>
          <w:p>
            <w:pPr>
              <w:pStyle w:val="Compact"/>
            </w:pPr>
            <w:r>
              <w:t xml:space="preserve">Recomendado</w:t>
            </w:r>
          </w:p>
        </w:tc>
        <w:tc>
          <w:tcPr/>
          <w:p>
            <w:pPr>
              <w:pStyle w:val="Compact"/>
            </w:pPr>
            <w:r>
              <w:t xml:space="preserve">O texto exato que a pessoa lê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Recomendado</w:t>
            </w:r>
          </w:p>
        </w:tc>
        <w:tc>
          <w:tcPr/>
          <w:p>
            <w:pPr>
              <w:pStyle w:val="Compact"/>
            </w:pPr>
            <w:r>
              <w:t xml:space="preserve">Que ecrãs realizam o caso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Diagrama do fluxo</w:t>
            </w:r>
          </w:p>
        </w:tc>
        <w:tc>
          <w:tcPr/>
          <w:p>
            <w:pPr>
              <w:pStyle w:val="Compact"/>
            </w:pPr>
            <w:r>
              <w:t xml:space="preserve">Opcional</w:t>
            </w:r>
          </w:p>
        </w:tc>
        <w:tc>
          <w:tcPr/>
          <w:p>
            <w:pPr>
              <w:pStyle w:val="Compact"/>
            </w:pPr>
            <w:r>
              <w:t xml:space="preserve">O desenho, quando o texto não chega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Critérios de aceitação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Como se prova que está feito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Rastreabilidade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Requisito → caso de uso → 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Questões em aberto</w:t>
            </w:r>
          </w:p>
        </w:tc>
        <w:tc>
          <w:tcPr/>
          <w:p>
            <w:pPr>
              <w:pStyle w:val="Compact"/>
            </w:pPr>
            <w:r>
              <w:t xml:space="preserve">Sim, enquanto existirem</w:t>
            </w:r>
          </w:p>
        </w:tc>
        <w:tc>
          <w:tcPr/>
          <w:p>
            <w:pPr>
              <w:pStyle w:val="Compact"/>
            </w:pPr>
            <w:r>
              <w:t xml:space="preserve">O que ainda não está decidido, e por quem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O que mudou desde a última aprovação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Um caso de uso sem fluxos alternativos e de exceção não está escrito — está esboçado.</w:t>
      </w:r>
      <w:r>
        <w:t xml:space="preserve"> </w:t>
      </w:r>
      <w:r>
        <w:t xml:space="preserve">É neles que vive a maior parte do custo de desenvolvimento e quase todos os defeitos encontrados em produção.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atores-e-interessados"/>
    <w:p>
      <w:pPr>
        <w:pStyle w:val="Heading2"/>
      </w:pPr>
      <w:r>
        <w:t xml:space="preserve">2. Atores e interessados</w:t>
      </w:r>
    </w:p>
    <w:bookmarkStart w:id="54" w:name="atores-primários-iniciam-casos-de-uso"/>
    <w:p>
      <w:pPr>
        <w:pStyle w:val="Heading3"/>
      </w:pPr>
      <w:r>
        <w:t xml:space="preserve">2.1 Atores primários (iniciam casos de uso)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{{Gestor de Encomendas}}</w:t>
            </w:r>
          </w:p>
        </w:tc>
        <w:tc>
          <w:tcPr/>
          <w:p>
            <w:pPr>
              <w:pStyle w:val="Compact"/>
            </w:pP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{{Garantir entregas no prazo}}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{{Cliente}}</w:t>
            </w:r>
          </w:p>
        </w:tc>
        <w:tc>
          <w:tcPr/>
          <w:p>
            <w:pPr>
              <w:pStyle w:val="Compact"/>
            </w:pP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{{Acompanhar a sua encomenda}}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{{Agendador}}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{{Processo automático diário}}</w:t>
            </w:r>
          </w:p>
        </w:tc>
        <w:tc>
          <w:tcPr/>
          <w:p>
            <w:pPr>
              <w:pStyle w:val="Compact"/>
            </w:pPr>
            <w:r>
              <w:t xml:space="preserve">{{Executar rotinas noturnas}}</w:t>
            </w:r>
          </w:p>
        </w:tc>
      </w:tr>
    </w:tbl>
    <w:bookmarkEnd w:id="54"/>
    <w:bookmarkStart w:id="55" w:name="X6a04e1f0936a05a054af7e3e3fd276f7e1e6549"/>
    <w:p>
      <w:pPr>
        <w:pStyle w:val="Heading3"/>
      </w:pPr>
      <w:r>
        <w:t xml:space="preserve">2.2 Atores secundários (participam mas não iniciam)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{{Gateway de Pagamento}}</w:t>
            </w:r>
          </w:p>
        </w:tc>
        <w:tc>
          <w:tcPr/>
          <w:p>
            <w:pPr>
              <w:pStyle w:val="Compact"/>
            </w:pPr>
            <w:r>
              <w:t xml:space="preserve">Sistema externo</w:t>
            </w:r>
          </w:p>
        </w:tc>
        <w:tc>
          <w:tcPr/>
          <w:p>
            <w:pPr>
              <w:pStyle w:val="Compact"/>
            </w:pPr>
            <w:r>
              <w:t xml:space="preserve">{{Autoriza e captura pagamentos}}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{{Serviço de E-mail}}</w:t>
            </w:r>
          </w:p>
        </w:tc>
        <w:tc>
          <w:tcPr/>
          <w:p>
            <w:pPr>
              <w:pStyle w:val="Compact"/>
            </w:pPr>
            <w:r>
              <w:t xml:space="preserve">Sistema externo</w:t>
            </w:r>
          </w:p>
        </w:tc>
        <w:tc>
          <w:tcPr/>
          <w:p>
            <w:pPr>
              <w:pStyle w:val="Compact"/>
            </w:pPr>
            <w:r>
              <w:t xml:space="preserve">{{Entrega notificações}}</w:t>
            </w:r>
          </w:p>
        </w:tc>
      </w:tr>
    </w:tbl>
    <w:bookmarkEnd w:id="55"/>
    <w:bookmarkStart w:id="56" w:name="interessados-sem-participação-direta"/>
    <w:p>
      <w:pPr>
        <w:pStyle w:val="Heading3"/>
      </w:pPr>
      <w:r>
        <w:t xml:space="preserve">2.3 Interessados sem participação direta</w:t>
      </w:r>
    </w:p>
    <w:p>
      <w:pPr>
        <w:pStyle w:val="FirstParagraph"/>
      </w:pPr>
      <w:r>
        <w:t xml:space="preserve">Quem tem interesse no resultado mas não toca no sistema durante o caso. Ignorá-los é a causa mais comum de requisitos descobertos tarde.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Interessado</w:t>
            </w:r>
          </w:p>
        </w:tc>
        <w:tc>
          <w:tcPr/>
          <w:p>
            <w:pPr>
              <w:pStyle w:val="Compact"/>
            </w:pPr>
            <w:r>
              <w:t xml:space="preserve">Interesse</w:t>
            </w:r>
          </w:p>
        </w:tc>
        <w:tc>
          <w:tcPr/>
          <w:p>
            <w:pPr>
              <w:pStyle w:val="Compact"/>
            </w:pPr>
            <w:r>
              <w:t xml:space="preserve">Como o caso o serve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{{Direção financeira}}</w:t>
            </w:r>
          </w:p>
        </w:tc>
        <w:tc>
          <w:tcPr/>
          <w:p>
            <w:pPr>
              <w:pStyle w:val="Compact"/>
            </w:pPr>
            <w:r>
              <w:t xml:space="preserve">{{Nenhuma encomenda acima de 5000 € sem aprovação}}</w:t>
            </w:r>
          </w:p>
        </w:tc>
        <w:tc>
          <w:tcPr/>
          <w:p>
            <w:pPr>
              <w:pStyle w:val="Compact"/>
            </w:pPr>
            <w:r>
              <w:t xml:space="preserve">{{RN-02, verificada no UC-04}}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{{Encarregado de proteção de dados}}</w:t>
            </w:r>
          </w:p>
        </w:tc>
        <w:tc>
          <w:tcPr/>
          <w:p>
            <w:pPr>
              <w:pStyle w:val="Compact"/>
            </w:pPr>
            <w:r>
              <w:t xml:space="preserve">{{Dados pessoais mínimos e registados}}</w:t>
            </w:r>
          </w:p>
        </w:tc>
        <w:tc>
          <w:tcPr/>
          <w:p>
            <w:pPr>
              <w:pStyle w:val="Compact"/>
            </w:pPr>
            <w:r>
              <w:t xml:space="preserve">{{Registo de auditoria, RNF-17}}</w:t>
            </w:r>
          </w:p>
        </w:tc>
      </w:tr>
    </w:tbl>
    <w:bookmarkEnd w:id="56"/>
    <w:bookmarkStart w:id="60" w:name="hierarquia-de-atores"/>
    <w:p>
      <w:pPr>
        <w:pStyle w:val="Heading3"/>
      </w:pPr>
      <w:r>
        <w:t xml:space="preserve">2.4 Hierarquia de atores</w:t>
      </w:r>
    </w:p>
    <w:p>
      <w:pPr>
        <w:pStyle w:val="FirstParagraph"/>
      </w:pPr>
      <w:r>
        <w:drawing>
          <wp:inline>
            <wp:extent cx="6191999" cy="440448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ou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404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diagrama-de-casos-de-uso"/>
    <w:p>
      <w:pPr>
        <w:pStyle w:val="Heading2"/>
      </w:pPr>
      <w:r>
        <w:t xml:space="preserve">3. Diagrama de casos de uso</w:t>
      </w:r>
    </w:p>
    <w:p>
      <w:pPr>
        <w:pStyle w:val="FirstParagraph"/>
      </w:pPr>
      <w:r>
        <w:drawing>
          <wp:inline>
            <wp:extent cx="6191999" cy="517984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out-2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179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Relações usadas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include</w:t>
      </w:r>
      <w:r>
        <w:t xml:space="preserve"> </w:t>
      </w:r>
      <w:r>
        <w:t xml:space="preserve">— o caso base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executa o incluído (fatorização de comportamento comum)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extend</w:t>
      </w:r>
      <w:r>
        <w:t xml:space="preserve"> </w:t>
      </w:r>
      <w:r>
        <w:t xml:space="preserve">— o caso extensão executa</w:t>
      </w:r>
      <w:r>
        <w:t xml:space="preserve"> </w:t>
      </w:r>
      <w:r>
        <w:rPr>
          <w:b/>
          <w:bCs/>
        </w:rPr>
        <w:t xml:space="preserve">condicionalmente</w:t>
      </w:r>
      <w:r>
        <w:t xml:space="preserve">, a partir de um ponto de extensão declarado no caso base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generalization</w:t>
      </w:r>
      <w:r>
        <w:t xml:space="preserve"> </w:t>
      </w:r>
      <w:r>
        <w:t xml:space="preserve">— especialização de um caso de uso ou de um ator</w:t>
      </w:r>
    </w:p>
    <w:p>
      <w:r>
        <w:pict>
          <v:rect style="width:0;height:1.5pt" o:hralign="center" o:hrstd="t" o:hr="t"/>
        </w:pict>
      </w:r>
    </w:p>
    <w:bookmarkEnd w:id="65"/>
    <w:bookmarkStart w:id="67" w:name="índice-de-casos-de-uso"/>
    <w:p>
      <w:pPr>
        <w:pStyle w:val="Heading2"/>
      </w:pPr>
      <w:r>
        <w:t xml:space="preserve">4. Índice de casos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Ator primário</w:t>
            </w:r>
          </w:p>
        </w:tc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Complexidade</w:t>
            </w:r>
          </w:p>
        </w:tc>
        <w:tc>
          <w:tcPr/>
          <w:p>
            <w:pPr>
              <w:pStyle w:val="Compact"/>
            </w:pPr>
            <w: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Autenticar utilizador</w:t>
            </w:r>
          </w:p>
        </w:tc>
        <w:tc>
          <w:tcPr/>
          <w:p>
            <w:pPr>
              <w:pStyle w:val="Compact"/>
            </w:pPr>
            <w:r>
              <w:t xml:space="preserve">Cliente, Gestor</w:t>
            </w:r>
          </w:p>
        </w:tc>
        <w:tc>
          <w:tcPr/>
          <w:p>
            <w:pPr>
              <w:pStyle w:val="Compact"/>
            </w:pPr>
            <w:r>
              <w:t xml:space="preserve">Utilizador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Criar encomenda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Utilizador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RF-06, RF-07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Consultar encomendas</w:t>
            </w:r>
          </w:p>
        </w:tc>
        <w:tc>
          <w:tcPr/>
          <w:p>
            <w:pPr>
              <w:pStyle w:val="Compact"/>
            </w:pPr>
            <w:r>
              <w:t xml:space="preserve">Cliente, Gestor</w:t>
            </w:r>
          </w:p>
        </w:tc>
        <w:tc>
          <w:tcPr/>
          <w:p>
            <w:pPr>
              <w:pStyle w:val="Compact"/>
            </w:pPr>
            <w:r>
              <w:t xml:space="preserve">Utilizador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Rascunho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Validar stock</w:t>
            </w:r>
          </w:p>
        </w:tc>
        <w:tc>
          <w:tcPr/>
          <w:p>
            <w:pPr>
              <w:pStyle w:val="Compact"/>
            </w:pPr>
            <w:r>
              <w:t xml:space="preserve">— (incluído)</w:t>
            </w:r>
          </w:p>
        </w:tc>
        <w:tc>
          <w:tcPr/>
          <w:p>
            <w:pPr>
              <w:pStyle w:val="Compact"/>
            </w:pPr>
            <w:r>
              <w:t xml:space="preserve">Sub-função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</w:tbl>
    <w:bookmarkStart w:id="66" w:name="matriz-ator-caso-de-uso"/>
    <w:p>
      <w:pPr>
        <w:pStyle w:val="Heading3"/>
      </w:pPr>
      <w:r>
        <w:t xml:space="preserve">Matriz ator × caso de uso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Agendador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 Autenticar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 Criar encomenda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UC-04 Aprovar encomenda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UC-08 Gerir utilizadores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94" w:name="especificação-completa-uc-01"/>
    <w:p>
      <w:pPr>
        <w:pStyle w:val="Heading2"/>
      </w:pPr>
      <w:r>
        <w:t xml:space="preserve">5. Especificação completa — UC-01</w:t>
      </w:r>
    </w:p>
    <w:bookmarkStart w:id="93" w:name="uc-01-autenticar-utilizador"/>
    <w:p>
      <w:pPr>
        <w:pStyle w:val="Heading3"/>
      </w:pPr>
      <w:r>
        <w:t xml:space="preserve">UC-01 — Autenticar utilizador</w:t>
      </w:r>
    </w:p>
    <w:bookmarkStart w:id="68" w:name="ficha-de-identificação"/>
    <w:p>
      <w:pPr>
        <w:pStyle w:val="Heading4"/>
      </w:pPr>
      <w:r>
        <w:t xml:space="preserve">Ficha de identificação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Autenticar utilizador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 primário</w:t>
            </w:r>
          </w:p>
        </w:tc>
        <w:tc>
          <w:tcPr/>
          <w:p>
            <w:pPr>
              <w:pStyle w:val="Compact"/>
            </w:pPr>
            <w:r>
              <w:t xml:space="preserve">{{Utilizador registado}}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 secundários</w:t>
            </w:r>
          </w:p>
        </w:tc>
        <w:tc>
          <w:tcPr/>
          <w:p>
            <w:pPr>
              <w:pStyle w:val="Compact"/>
            </w:pPr>
            <w:r>
              <w:t xml:space="preserve">{{Serviço de Identidade}}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{{Obter acesso às funcionalidades reservadas}}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{{Sistema de Encomendas}}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Objetivo de utilizador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Complexidade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de uso</w:t>
            </w:r>
          </w:p>
        </w:tc>
        <w:tc>
          <w:tcPr/>
          <w:p>
            <w:pPr>
              <w:pStyle w:val="Compact"/>
            </w:pPr>
            <w:r>
              <w:t xml:space="preserve">{{~2000 vezes/dia; pico às 9h}}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Canais</w:t>
            </w:r>
          </w:p>
        </w:tc>
        <w:tc>
          <w:tcPr/>
          <w:p>
            <w:pPr>
              <w:pStyle w:val="Compact"/>
            </w:pPr>
            <w:r>
              <w:t xml:space="preserve">{{Web, aplicação móvel}}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{{Nome — analista responsável}}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Aprovado em {{AAAA-MM-DD}} por {{Nome}}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RF-01, RNF-13, RNF-17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RN-01,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Casos de teste</w:t>
            </w:r>
          </w:p>
        </w:tc>
        <w:tc>
          <w:tcPr/>
          <w:p>
            <w:pPr>
              <w:pStyle w:val="Compact"/>
            </w:pPr>
            <w:r>
              <w:t xml:space="preserve">TC-001, TC-002, TC-003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Ecrãs</w:t>
            </w:r>
          </w:p>
        </w:tc>
        <w:tc>
          <w:tcPr/>
          <w:p>
            <w:pPr>
              <w:pStyle w:val="Compact"/>
            </w:pPr>
            <w:r>
              <w:t xml:space="preserve">E-01 Entrada, E-02 Segundo fator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  <w:r>
              <w:t xml:space="preserve">: — ·</w:t>
            </w:r>
            <w:r>
              <w:t xml:space="preserve"> </w:t>
            </w:r>
            <w:r>
              <w:rPr>
                <w:rStyle w:val="VerbatimChar"/>
              </w:rPr>
              <w:t xml:space="preserve">extend</w:t>
            </w:r>
            <w:r>
              <w:t xml:space="preserve">: UC-09 (recuperar palavra-passe) · Generalização: —</w:t>
            </w:r>
          </w:p>
        </w:tc>
      </w:tr>
    </w:tbl>
    <w:bookmarkEnd w:id="68"/>
    <w:bookmarkStart w:id="69" w:name="interessados-e-interesses"/>
    <w:p>
      <w:pPr>
        <w:pStyle w:val="Heading4"/>
      </w:pPr>
      <w:r>
        <w:t xml:space="preserve">Interessados e interesses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Interessado</w:t>
            </w:r>
          </w:p>
        </w:tc>
        <w:tc>
          <w:tcPr/>
          <w:p>
            <w:pPr>
              <w:pStyle w:val="Compact"/>
            </w:pPr>
            <w:r>
              <w:t xml:space="preserve">Interesse neste caso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{{Utilizador}}</w:t>
            </w:r>
          </w:p>
        </w:tc>
        <w:tc>
          <w:tcPr/>
          <w:p>
            <w:pPr>
              <w:pStyle w:val="Compact"/>
            </w:pPr>
            <w:r>
              <w:t xml:space="preserve">{{Entrar depressa, sem repetir credenciais desnecessariamente}}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{{Segurança}}</w:t>
            </w:r>
          </w:p>
        </w:tc>
        <w:tc>
          <w:tcPr/>
          <w:p>
            <w:pPr>
              <w:pStyle w:val="Compact"/>
            </w:pPr>
            <w:r>
              <w:t xml:space="preserve">{{Nenhuma pista sobre que contas existem; força bruta travada}}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{{Suporte}}</w:t>
            </w:r>
          </w:p>
        </w:tc>
        <w:tc>
          <w:tcPr/>
          <w:p>
            <w:pPr>
              <w:pStyle w:val="Compact"/>
            </w:pPr>
            <w:r>
              <w:t xml:space="preserve">{{Conseguir explicar um bloqueio a partir do registo de auditoria}}</w:t>
            </w:r>
          </w:p>
        </w:tc>
      </w:tr>
    </w:tbl>
    <w:bookmarkEnd w:id="69"/>
    <w:bookmarkStart w:id="70" w:name="pré-condições"/>
    <w:p>
      <w:pPr>
        <w:pStyle w:val="Heading4"/>
      </w:pPr>
      <w:r>
        <w:t xml:space="preserve">Pré-condições</w:t>
      </w:r>
    </w:p>
    <w:p>
      <w:pPr>
        <w:pStyle w:val="Compact"/>
        <w:numPr>
          <w:ilvl w:val="0"/>
          <w:numId w:val="1002"/>
        </w:numPr>
      </w:pPr>
      <w:r>
        <w:t xml:space="preserve">O utilizador tem conta ativa no sistema.</w:t>
      </w:r>
    </w:p>
    <w:p>
      <w:pPr>
        <w:pStyle w:val="Compact"/>
        <w:numPr>
          <w:ilvl w:val="0"/>
          <w:numId w:val="1002"/>
        </w:numPr>
      </w:pPr>
      <w:r>
        <w:t xml:space="preserve">O sistema está disponível.</w:t>
      </w:r>
    </w:p>
    <w:bookmarkEnd w:id="70"/>
    <w:bookmarkStart w:id="71" w:name="garantia-mínima"/>
    <w:p>
      <w:pPr>
        <w:pStyle w:val="Heading4"/>
      </w:pPr>
      <w:r>
        <w:t xml:space="preserve">Garantia mínima</w:t>
      </w:r>
    </w:p>
    <w:p>
      <w:pPr>
        <w:pStyle w:val="FirstParagraph"/>
      </w:pPr>
      <w:r>
        <w:t xml:space="preserve">Aconteça o que acontecer, o sistema</w:t>
      </w:r>
      <w:r>
        <w:t xml:space="preserve"> </w:t>
      </w:r>
      <w:r>
        <w:rPr>
          <w:b/>
          <w:bCs/>
        </w:rPr>
        <w:t xml:space="preserve">não cria sessão sem credenciais válidas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regista sempre a tentativa</w:t>
      </w:r>
      <w:r>
        <w:t xml:space="preserve"> </w:t>
      </w:r>
      <w:r>
        <w:t xml:space="preserve">— com sucesso ou sem ele.</w:t>
      </w:r>
    </w:p>
    <w:bookmarkEnd w:id="71"/>
    <w:bookmarkStart w:id="72" w:name="pós-condições-de-sucesso"/>
    <w:p>
      <w:pPr>
        <w:pStyle w:val="Heading4"/>
      </w:pPr>
      <w:r>
        <w:t xml:space="preserve">Pós-condições de sucesso</w:t>
      </w:r>
    </w:p>
    <w:p>
      <w:pPr>
        <w:pStyle w:val="Compact"/>
        <w:numPr>
          <w:ilvl w:val="0"/>
          <w:numId w:val="1003"/>
        </w:numPr>
      </w:pPr>
      <w:r>
        <w:t xml:space="preserve">Existe uma sessão autenticada associada ao utilizador.</w:t>
      </w:r>
    </w:p>
    <w:p>
      <w:pPr>
        <w:pStyle w:val="Compact"/>
        <w:numPr>
          <w:ilvl w:val="0"/>
          <w:numId w:val="1003"/>
        </w:numPr>
      </w:pPr>
      <w:r>
        <w:t xml:space="preserve">O evento de autenticação foi registado no registo de auditoria.</w:t>
      </w:r>
    </w:p>
    <w:bookmarkEnd w:id="72"/>
    <w:bookmarkStart w:id="73" w:name="pós-condições-de-insucesso"/>
    <w:p>
      <w:pPr>
        <w:pStyle w:val="Heading4"/>
      </w:pPr>
      <w:r>
        <w:t xml:space="preserve">Pós-condições de insucesso</w:t>
      </w:r>
    </w:p>
    <w:p>
      <w:pPr>
        <w:pStyle w:val="Compact"/>
        <w:numPr>
          <w:ilvl w:val="0"/>
          <w:numId w:val="1004"/>
        </w:numPr>
      </w:pPr>
      <w:r>
        <w:t xml:space="preserve">Nenhuma sessão é criada.</w:t>
      </w:r>
    </w:p>
    <w:p>
      <w:pPr>
        <w:pStyle w:val="Compact"/>
        <w:numPr>
          <w:ilvl w:val="0"/>
          <w:numId w:val="1004"/>
        </w:numPr>
      </w:pPr>
      <w:r>
        <w:t xml:space="preserve">A tentativa falhada é registada e contabilizada.</w:t>
      </w:r>
    </w:p>
    <w:bookmarkEnd w:id="73"/>
    <w:bookmarkStart w:id="74" w:name="gatilho"/>
    <w:p>
      <w:pPr>
        <w:pStyle w:val="Heading4"/>
      </w:pPr>
      <w:r>
        <w:t xml:space="preserve">Gatilho</w:t>
      </w:r>
    </w:p>
    <w:p>
      <w:pPr>
        <w:pStyle w:val="FirstParagraph"/>
      </w:pPr>
      <w:r>
        <w:t xml:space="preserve">{{O utilizador acede a uma página que exige autenticação, ou clica em «Entrar».}}</w:t>
      </w:r>
    </w:p>
    <w:p>
      <w:r>
        <w:pict>
          <v:rect style="width:0;height:1.5pt" o:hralign="center" o:hrstd="t" o:hr="t"/>
        </w:pict>
      </w:r>
    </w:p>
    <w:bookmarkEnd w:id="74"/>
    <w:bookmarkStart w:id="75" w:name="fluxo-principal-caminho-feliz"/>
    <w:p>
      <w:pPr>
        <w:pStyle w:val="Heading4"/>
      </w:pPr>
      <w:r>
        <w:t xml:space="preserve">Fluxo principal (caminho feliz)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Acede ao formulário de autenticação.</w:t>
            </w:r>
          </w:p>
        </w:tc>
        <w:tc>
          <w:tcPr/>
          <w:p>
            <w:pPr>
              <w:pStyle w:val="Compact"/>
            </w:pPr>
            <w:r>
              <w:t xml:space="preserve">Apresenta os campos e-mail e palavra-passe.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Introduz credenciais e submete.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Valida o formato dos dados.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Verifica as credenciais contra o serviço de identidade.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Cria a sessão e regista o evento de auditoria.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Redireciona para o painel principal.</w:t>
            </w:r>
          </w:p>
        </w:tc>
      </w:tr>
    </w:tbl>
    <w:bookmarkEnd w:id="75"/>
    <w:bookmarkStart w:id="76" w:name="pontos-de-extensão"/>
    <w:p>
      <w:pPr>
        <w:pStyle w:val="Heading4"/>
      </w:pPr>
      <w:r>
        <w:t xml:space="preserve">Pontos de extensão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Caso que estende</w:t>
            </w:r>
          </w:p>
        </w:tc>
        <w:tc>
          <w:tcPr/>
          <w:p>
            <w:pPr>
              <w:pStyle w:val="Compac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credenciais_esquecidas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UC-09 Recuperar palavra-passe</w:t>
            </w:r>
          </w:p>
        </w:tc>
        <w:tc>
          <w:tcPr/>
          <w:p>
            <w:pPr>
              <w:pStyle w:val="Compact"/>
            </w:pPr>
            <w:r>
              <w:t xml:space="preserve">{{O utilizador escolhe «Esqueci-me da palavra-passe»}}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sessao_expirada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UC-10 Retomar contexto</w:t>
            </w:r>
          </w:p>
        </w:tc>
        <w:tc>
          <w:tcPr/>
          <w:p>
            <w:pPr>
              <w:pStyle w:val="Compact"/>
            </w:pPr>
            <w:r>
              <w:t xml:space="preserve">{{Havia um destino guardado antes da expiração}}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fluxos-alternativos"/>
    <w:p>
      <w:pPr>
        <w:pStyle w:val="Heading4"/>
      </w:pPr>
      <w:r>
        <w:t xml:space="preserve">Fluxos alternativos</w:t>
      </w:r>
    </w:p>
    <w:p>
      <w:pPr>
        <w:pStyle w:val="FirstParagraph"/>
      </w:pPr>
      <w:r>
        <w:t xml:space="preserve">Caminhos diferentes do principal que</w:t>
      </w:r>
      <w:r>
        <w:t xml:space="preserve"> </w:t>
      </w:r>
      <w:r>
        <w:rPr>
          <w:b/>
          <w:bCs/>
        </w:rPr>
        <w:t xml:space="preserve">também alcançam o objetivo</w:t>
      </w:r>
      <w:r>
        <w:t xml:space="preserve">. Numeram-se</w:t>
      </w:r>
      <w:r>
        <w:t xml:space="preserve"> 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… e dizem sempre em que passo divergem e para onde regressam.</w:t>
      </w:r>
    </w:p>
    <w:p>
      <w:pPr>
        <w:pStyle w:val="BodyText"/>
      </w:pPr>
      <w:r>
        <w:rPr>
          <w:b/>
          <w:bCs/>
        </w:rPr>
        <w:t xml:space="preserve">A1 — Utilizador já autenticado</w:t>
      </w:r>
      <w:r>
        <w:t xml:space="preserve"> </w:t>
      </w:r>
      <w:r>
        <w:rPr>
          <w:i/>
          <w:iCs/>
        </w:rPr>
        <w:t xml:space="preserve">(no passo 1)</w:t>
      </w:r>
    </w:p>
    <w:p>
      <w:pPr>
        <w:pStyle w:val="Compact"/>
        <w:numPr>
          <w:ilvl w:val="0"/>
          <w:numId w:val="1005"/>
        </w:numPr>
      </w:pPr>
      <w:r>
        <w:t xml:space="preserve">O sistema deteta sessão válida.</w:t>
      </w:r>
    </w:p>
    <w:p>
      <w:pPr>
        <w:pStyle w:val="Compact"/>
        <w:numPr>
          <w:ilvl w:val="0"/>
          <w:numId w:val="1005"/>
        </w:numPr>
      </w:pPr>
      <w:r>
        <w:t xml:space="preserve">Redireciona diretamente para o painel principal.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Fim do caso de uso com sucesso.</w:t>
      </w:r>
    </w:p>
    <w:p>
      <w:pPr>
        <w:pStyle w:val="FirstParagraph"/>
      </w:pPr>
      <w:r>
        <w:rPr>
          <w:b/>
          <w:bCs/>
        </w:rPr>
        <w:t xml:space="preserve">A2 — Autenticação via SSO</w:t>
      </w:r>
      <w:r>
        <w:t xml:space="preserve"> </w:t>
      </w:r>
      <w:r>
        <w:rPr>
          <w:i/>
          <w:iCs/>
        </w:rPr>
        <w:t xml:space="preserve">(no passo 2)</w:t>
      </w:r>
    </w:p>
    <w:p>
      <w:pPr>
        <w:pStyle w:val="Compact"/>
        <w:numPr>
          <w:ilvl w:val="0"/>
          <w:numId w:val="1006"/>
        </w:numPr>
      </w:pPr>
      <w:r>
        <w:t xml:space="preserve">O utilizador escolhe «Entrar com {{fornecedor}}».</w:t>
      </w:r>
    </w:p>
    <w:p>
      <w:pPr>
        <w:pStyle w:val="Compact"/>
        <w:numPr>
          <w:ilvl w:val="0"/>
          <w:numId w:val="1006"/>
        </w:numPr>
      </w:pPr>
      <w:r>
        <w:t xml:space="preserve">O sistema redireciona para o fornecedor de identidade.</w:t>
      </w:r>
    </w:p>
    <w:p>
      <w:pPr>
        <w:pStyle w:val="Compact"/>
        <w:numPr>
          <w:ilvl w:val="0"/>
          <w:numId w:val="1006"/>
        </w:numPr>
      </w:pPr>
      <w:r>
        <w:t xml:space="preserve">O fornecedor devolve a asserção de identidade.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Regressa ao passo 5 do fluxo principal.</w:t>
      </w:r>
    </w:p>
    <w:p>
      <w:pPr>
        <w:pStyle w:val="FirstParagraph"/>
      </w:pPr>
      <w:r>
        <w:rPr>
          <w:b/>
          <w:bCs/>
        </w:rPr>
        <w:t xml:space="preserve">A3 — MFA exigido</w:t>
      </w:r>
      <w:r>
        <w:t xml:space="preserve"> </w:t>
      </w:r>
      <w:r>
        <w:rPr>
          <w:i/>
          <w:iCs/>
        </w:rPr>
        <w:t xml:space="preserve">(após o passo 4)</w:t>
      </w:r>
    </w:p>
    <w:p>
      <w:pPr>
        <w:pStyle w:val="Compact"/>
        <w:numPr>
          <w:ilvl w:val="0"/>
          <w:numId w:val="1007"/>
        </w:numPr>
      </w:pPr>
      <w:r>
        <w:t xml:space="preserve">O sistema deteta que o papel do utilizador exige MFA (RN-08).</w:t>
      </w:r>
    </w:p>
    <w:p>
      <w:pPr>
        <w:pStyle w:val="Compact"/>
        <w:numPr>
          <w:ilvl w:val="0"/>
          <w:numId w:val="1007"/>
        </w:numPr>
      </w:pPr>
      <w:r>
        <w:t xml:space="preserve">Solicita o código de segundo fator.</w:t>
      </w:r>
    </w:p>
    <w:p>
      <w:pPr>
        <w:pStyle w:val="Compact"/>
        <w:numPr>
          <w:ilvl w:val="0"/>
          <w:numId w:val="1007"/>
        </w:numPr>
      </w:pPr>
      <w:r>
        <w:t xml:space="preserve">O utilizador introduz o código.</w:t>
      </w:r>
    </w:p>
    <w:p>
      <w:pPr>
        <w:pStyle w:val="Compact"/>
        <w:numPr>
          <w:ilvl w:val="0"/>
          <w:numId w:val="1007"/>
        </w:numPr>
      </w:pPr>
      <w:r>
        <w:t xml:space="preserve">O sistema valida o código.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Regressa ao passo 5 do fluxo principal.</w:t>
      </w:r>
    </w:p>
    <w:p>
      <w:pPr>
        <w:pStyle w:val="Compact"/>
        <w:numPr>
          <w:ilvl w:val="1"/>
          <w:numId w:val="1008"/>
        </w:numPr>
      </w:pPr>
      <w:r>
        <w:t xml:space="preserve">4a. Código inválido: até 3 tentativas; depois →</w:t>
      </w:r>
      <w:r>
        <w:t xml:space="preserve"> </w:t>
      </w:r>
      <w:r>
        <w:rPr>
          <w:b/>
          <w:bCs/>
        </w:rPr>
        <w:t xml:space="preserve">E3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A4 — Palavra-passe expirada</w:t>
      </w:r>
      <w:r>
        <w:t xml:space="preserve"> </w:t>
      </w:r>
      <w:r>
        <w:rPr>
          <w:i/>
          <w:iCs/>
        </w:rPr>
        <w:t xml:space="preserve">(após o passo 4)</w:t>
      </w:r>
    </w:p>
    <w:p>
      <w:pPr>
        <w:pStyle w:val="Compact"/>
        <w:numPr>
          <w:ilvl w:val="0"/>
          <w:numId w:val="1009"/>
        </w:numPr>
      </w:pPr>
      <w:r>
        <w:t xml:space="preserve">O sistema deteta palavra-passe com mais de {{90}} dias (RN-12).</w:t>
      </w:r>
    </w:p>
    <w:p>
      <w:pPr>
        <w:pStyle w:val="Compact"/>
        <w:numPr>
          <w:ilvl w:val="0"/>
          <w:numId w:val="1009"/>
        </w:numPr>
      </w:pPr>
      <w:r>
        <w:t xml:space="preserve">Cria sessão restrita, válida apenas para a mudança de palavra-passe.</w:t>
      </w:r>
    </w:p>
    <w:p>
      <w:pPr>
        <w:pStyle w:val="Compact"/>
        <w:numPr>
          <w:ilvl w:val="0"/>
          <w:numId w:val="1009"/>
        </w:numPr>
      </w:pPr>
      <w:r>
        <w:t xml:space="preserve">Encaminha para o ecrã de definição de nova palavra-passe.</w:t>
      </w:r>
    </w:p>
    <w:p>
      <w:pPr>
        <w:pStyle w:val="Compact"/>
        <w:numPr>
          <w:ilvl w:val="0"/>
          <w:numId w:val="1009"/>
        </w:numPr>
      </w:pPr>
      <w:r>
        <w:t xml:space="preserve">Concluída a mudança,</w:t>
      </w:r>
      <w:r>
        <w:t xml:space="preserve"> </w:t>
      </w:r>
      <w:r>
        <w:rPr>
          <w:i/>
          <w:iCs/>
        </w:rPr>
        <w:t xml:space="preserve">regressa ao passo 5 do fluxo principal.</w:t>
      </w:r>
    </w:p>
    <w:p>
      <w:pPr>
        <w:pStyle w:val="FirstParagraph"/>
      </w:pPr>
      <w:r>
        <w:rPr>
          <w:b/>
          <w:bCs/>
        </w:rPr>
        <w:t xml:space="preserve">A5 — Primeiro acesso com convite</w:t>
      </w:r>
      <w:r>
        <w:t xml:space="preserve"> </w:t>
      </w:r>
      <w:r>
        <w:rPr>
          <w:i/>
          <w:iCs/>
        </w:rPr>
        <w:t xml:space="preserve">(no passo 1)</w:t>
      </w:r>
    </w:p>
    <w:p>
      <w:pPr>
        <w:pStyle w:val="Compact"/>
        <w:numPr>
          <w:ilvl w:val="0"/>
          <w:numId w:val="1010"/>
        </w:numPr>
      </w:pPr>
      <w:r>
        <w:t xml:space="preserve">O utilizador chega por hiperligação de convite, ainda sem palavra-passe definida.</w:t>
      </w:r>
    </w:p>
    <w:p>
      <w:pPr>
        <w:pStyle w:val="Compact"/>
        <w:numPr>
          <w:ilvl w:val="0"/>
          <w:numId w:val="1010"/>
        </w:numPr>
      </w:pPr>
      <w:r>
        <w:t xml:space="preserve">O sistema valida o testemunho do convite e a sua validade.</w:t>
      </w:r>
    </w:p>
    <w:p>
      <w:pPr>
        <w:pStyle w:val="Compact"/>
        <w:numPr>
          <w:ilvl w:val="0"/>
          <w:numId w:val="1010"/>
        </w:numPr>
      </w:pPr>
      <w:r>
        <w:t xml:space="preserve">O utilizador define a palavra-passe.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Regressa ao passo 5 do fluxo principal.</w:t>
      </w:r>
    </w:p>
    <w:p>
      <w:pPr>
        <w:pStyle w:val="Compact"/>
        <w:numPr>
          <w:ilvl w:val="1"/>
          <w:numId w:val="1011"/>
        </w:numPr>
      </w:pPr>
      <w:r>
        <w:t xml:space="preserve">2a. Convite expirado ou já usado →</w:t>
      </w:r>
      <w:r>
        <w:t xml:space="preserve"> </w:t>
      </w:r>
      <w:r>
        <w:rPr>
          <w:b/>
          <w:bCs/>
        </w:rPr>
        <w:t xml:space="preserve">E5</w:t>
      </w:r>
      <w:r>
        <w:t xml:space="preserve">.</w:t>
      </w:r>
    </w:p>
    <w:bookmarkEnd w:id="77"/>
    <w:bookmarkStart w:id="78" w:name="fluxos-de-exceção"/>
    <w:p>
      <w:pPr>
        <w:pStyle w:val="Heading4"/>
      </w:pPr>
      <w:r>
        <w:t xml:space="preserve">Fluxos de exceção</w:t>
      </w:r>
    </w:p>
    <w:p>
      <w:pPr>
        <w:pStyle w:val="FirstParagraph"/>
      </w:pPr>
      <w:r>
        <w:t xml:space="preserve">Caminhos em que</w:t>
      </w:r>
      <w:r>
        <w:t xml:space="preserve"> </w:t>
      </w:r>
      <w:r>
        <w:rPr>
          <w:b/>
          <w:bCs/>
        </w:rPr>
        <w:t xml:space="preserve">o objetivo não é alcançado</w:t>
      </w:r>
      <w:r>
        <w:t xml:space="preserve">. Numeram-se</w:t>
      </w:r>
      <w:r>
        <w:t xml:space="preserve"> </w:t>
      </w:r>
      <w:r>
        <w:rPr>
          <w:rStyle w:val="VerbatimChar"/>
        </w:rPr>
        <w:t xml:space="preserve">E1</w:t>
      </w:r>
      <w:r>
        <w:t xml:space="preserve">,</w:t>
      </w:r>
      <w:r>
        <w:t xml:space="preserve"> </w:t>
      </w:r>
      <w:r>
        <w:rPr>
          <w:rStyle w:val="VerbatimChar"/>
        </w:rPr>
        <w:t xml:space="preserve">E2</w:t>
      </w:r>
      <w:r>
        <w:t xml:space="preserve">, … Cada um diz o que a pessoa vê, o que fica registado e como termina o caso.</w:t>
      </w:r>
    </w:p>
    <w:p>
      <w:pPr>
        <w:pStyle w:val="BodyText"/>
      </w:pPr>
      <w:r>
        <w:rPr>
          <w:b/>
          <w:bCs/>
        </w:rPr>
        <w:t xml:space="preserve">E1 — Credenciais inválidas</w:t>
      </w:r>
      <w:r>
        <w:t xml:space="preserve"> </w:t>
      </w:r>
      <w:r>
        <w:rPr>
          <w:i/>
          <w:iCs/>
        </w:rPr>
        <w:t xml:space="preserve">(no passo 4)</w:t>
      </w:r>
    </w:p>
    <w:p>
      <w:pPr>
        <w:pStyle w:val="Compact"/>
        <w:numPr>
          <w:ilvl w:val="0"/>
          <w:numId w:val="1012"/>
        </w:numPr>
      </w:pPr>
      <w:r>
        <w:t xml:space="preserve">O sistema apresenta «Credenciais inválidas» (mensagem genérica — RNF-13).</w:t>
      </w:r>
    </w:p>
    <w:p>
      <w:pPr>
        <w:pStyle w:val="Compact"/>
        <w:numPr>
          <w:ilvl w:val="0"/>
          <w:numId w:val="1012"/>
        </w:numPr>
      </w:pPr>
      <w:r>
        <w:t xml:space="preserve">Incrementa o contador de tentativas falhadas.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Regressa ao passo 1.</w:t>
      </w:r>
    </w:p>
    <w:p>
      <w:pPr>
        <w:pStyle w:val="FirstParagraph"/>
      </w:pPr>
      <w:r>
        <w:rPr>
          <w:b/>
          <w:bCs/>
        </w:rPr>
        <w:t xml:space="preserve">E2 — Conta bloqueada</w:t>
      </w:r>
      <w:r>
        <w:t xml:space="preserve"> </w:t>
      </w:r>
      <w:r>
        <w:rPr>
          <w:i/>
          <w:iCs/>
        </w:rPr>
        <w:t xml:space="preserve">(no passo 4)</w:t>
      </w:r>
    </w:p>
    <w:p>
      <w:pPr>
        <w:pStyle w:val="Compact"/>
        <w:numPr>
          <w:ilvl w:val="0"/>
          <w:numId w:val="1013"/>
        </w:numPr>
      </w:pPr>
      <w:r>
        <w:t xml:space="preserve">O sistema deteta 5 tentativas falhadas em 15 min (RN-01).</w:t>
      </w:r>
    </w:p>
    <w:p>
      <w:pPr>
        <w:pStyle w:val="Compact"/>
        <w:numPr>
          <w:ilvl w:val="0"/>
          <w:numId w:val="1013"/>
        </w:numPr>
      </w:pPr>
      <w:r>
        <w:t xml:space="preserve">Bloqueia o acesso por 15 minutos e notifica o utilizador por e-mail.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E3 — Serviço de identidade indisponível</w:t>
      </w:r>
      <w:r>
        <w:t xml:space="preserve"> </w:t>
      </w:r>
      <w:r>
        <w:rPr>
          <w:i/>
          <w:iCs/>
        </w:rPr>
        <w:t xml:space="preserve">(no passo 4)</w:t>
      </w:r>
    </w:p>
    <w:p>
      <w:pPr>
        <w:pStyle w:val="Compact"/>
        <w:numPr>
          <w:ilvl w:val="0"/>
          <w:numId w:val="1014"/>
        </w:numPr>
      </w:pPr>
      <w:r>
        <w:t xml:space="preserve">O sistema deteta esgotamento de tempo após {{3 s}}.</w:t>
      </w:r>
    </w:p>
    <w:p>
      <w:pPr>
        <w:pStyle w:val="Compact"/>
        <w:numPr>
          <w:ilvl w:val="0"/>
          <w:numId w:val="1014"/>
        </w:numPr>
      </w:pPr>
      <w:r>
        <w:t xml:space="preserve">Apresenta «Serviço temporariamente indisponível. Tenta novamente.»</w:t>
      </w:r>
    </w:p>
    <w:p>
      <w:pPr>
        <w:pStyle w:val="Compact"/>
        <w:numPr>
          <w:ilvl w:val="0"/>
          <w:numId w:val="1014"/>
        </w:numPr>
      </w:pPr>
      <w:r>
        <w:t xml:space="preserve">Regista o incidente e dispara alerta.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E4 — Conta desativada</w:t>
      </w:r>
      <w:r>
        <w:t xml:space="preserve"> </w:t>
      </w:r>
      <w:r>
        <w:rPr>
          <w:i/>
          <w:iCs/>
        </w:rPr>
        <w:t xml:space="preserve">(no passo 4)</w:t>
      </w:r>
    </w:p>
    <w:p>
      <w:pPr>
        <w:pStyle w:val="Compact"/>
        <w:numPr>
          <w:ilvl w:val="0"/>
          <w:numId w:val="1015"/>
        </w:numPr>
      </w:pPr>
      <w:r>
        <w:t xml:space="preserve">O sistema apresenta mensagem genérica (não revela o motivo).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E5 — Convite inválido ou expirado</w:t>
      </w:r>
      <w:r>
        <w:t xml:space="preserve"> </w:t>
      </w:r>
      <w:r>
        <w:rPr>
          <w:i/>
          <w:iCs/>
        </w:rPr>
        <w:t xml:space="preserve">(no passo A5.2)</w:t>
      </w:r>
    </w:p>
    <w:p>
      <w:pPr>
        <w:pStyle w:val="Compact"/>
        <w:numPr>
          <w:ilvl w:val="0"/>
          <w:numId w:val="1016"/>
        </w:numPr>
      </w:pPr>
      <w:r>
        <w:t xml:space="preserve">O sistema apresenta «Este convite já não é válido. Pede um novo a {{quem}}.»</w:t>
      </w:r>
    </w:p>
    <w:p>
      <w:pPr>
        <w:pStyle w:val="Compact"/>
        <w:numPr>
          <w:ilvl w:val="0"/>
          <w:numId w:val="1016"/>
        </w:numPr>
      </w:pPr>
      <w:r>
        <w:t xml:space="preserve">Regista a tentativa com o identificador do convite.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E6 — Ligação perdida durante a submissão</w:t>
      </w:r>
      <w:r>
        <w:t xml:space="preserve"> </w:t>
      </w:r>
      <w:r>
        <w:rPr>
          <w:i/>
          <w:iCs/>
        </w:rPr>
        <w:t xml:space="preserve">(em qualquer passo)</w:t>
      </w:r>
    </w:p>
    <w:p>
      <w:pPr>
        <w:pStyle w:val="Compact"/>
        <w:numPr>
          <w:ilvl w:val="0"/>
          <w:numId w:val="1017"/>
        </w:numPr>
      </w:pPr>
      <w:r>
        <w:t xml:space="preserve">O cliente não recebe resposta em {{10 s}}.</w:t>
      </w:r>
    </w:p>
    <w:p>
      <w:pPr>
        <w:pStyle w:val="Compact"/>
        <w:numPr>
          <w:ilvl w:val="0"/>
          <w:numId w:val="1017"/>
        </w:numPr>
      </w:pPr>
      <w:r>
        <w:t xml:space="preserve">Apresenta a possibilidade de repetir, sem reintroduzir o e-mail.</w:t>
      </w:r>
    </w:p>
    <w:p>
      <w:pPr>
        <w:pStyle w:val="Compact"/>
        <w:numPr>
          <w:ilvl w:val="0"/>
          <w:numId w:val="1017"/>
        </w:numPr>
      </w:pPr>
      <w:r>
        <w:t xml:space="preserve">Nenhuma sessão parcial fica criada (garantia mínima).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Fim do caso de uso com insucesso.</w:t>
      </w:r>
    </w:p>
    <w:bookmarkEnd w:id="78"/>
    <w:bookmarkStart w:id="79" w:name="variações-de-tecnologia-e-de-dados"/>
    <w:p>
      <w:pPr>
        <w:pStyle w:val="Heading4"/>
      </w:pPr>
      <w:r>
        <w:t xml:space="preserve">Variações de tecnologia e de dados</w:t>
      </w:r>
    </w:p>
    <w:p>
      <w:pPr>
        <w:pStyle w:val="FirstParagraph"/>
      </w:pPr>
      <w:r>
        <w:t xml:space="preserve">O mesmo passo, feito de maneiras diferentes. Evita multiplicar fluxos alternativos por causa do meio.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Credenciais introduzidas por teclado, por gestor de palavras-passe, ou por preenchimento automático do navegador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{{Leitura de cartão}} / {{biometria do dispositivo}}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Serviço de identidade interno ou {{fornecedor externo}}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requisitos-especiais"/>
    <w:p>
      <w:pPr>
        <w:pStyle w:val="Heading4"/>
      </w:pPr>
      <w:r>
        <w:t xml:space="preserve">Requisitos especiais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Resposta em ≤ {{1 s}} p95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Proteção contra enumeração de contas e força bruta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Formulário navegável só com teclado; erros anunciados por leitor de ecrã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{{99,9 %}} mensal; degradação com mensagem clara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Auditoria</w:t>
            </w:r>
          </w:p>
        </w:tc>
        <w:tc>
          <w:tcPr/>
          <w:p>
            <w:pPr>
              <w:pStyle w:val="Compact"/>
            </w:pPr>
            <w:r>
              <w:t xml:space="preserve">Sucesso e insucesso registados com origem, momento e agente do utilizador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Privacidade</w:t>
            </w:r>
          </w:p>
        </w:tc>
        <w:tc>
          <w:tcPr/>
          <w:p>
            <w:pPr>
              <w:pStyle w:val="Compact"/>
            </w:pPr>
            <w:r>
              <w:t xml:space="preserve">A palavra-passe nunca aparece em registos nem em relatórios de erro</w:t>
            </w:r>
          </w:p>
        </w:tc>
      </w:tr>
    </w:tbl>
    <w:bookmarkEnd w:id="80"/>
    <w:bookmarkStart w:id="81" w:name="permissões"/>
    <w:p>
      <w:pPr>
        <w:pStyle w:val="Heading4"/>
      </w:pPr>
      <w:r>
        <w:t xml:space="preserve">Permissões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Pode iniciar</w:t>
            </w:r>
          </w:p>
        </w:tc>
        <w:tc>
          <w:tcPr/>
          <w:p>
            <w:pPr>
              <w:pStyle w:val="Compac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Anónimo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É a única forma de deixar de o 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Sessão substitui a anterior no mesmo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MFA obrigatório (RN-08)</w:t>
            </w:r>
          </w:p>
        </w:tc>
      </w:tr>
    </w:tbl>
    <w:bookmarkEnd w:id="81"/>
    <w:bookmarkStart w:id="82" w:name="dados-envolvidos"/>
    <w:p>
      <w:pPr>
        <w:pStyle w:val="Heading4"/>
      </w:pPr>
      <w:r>
        <w:t xml:space="preserve">Dados envolvidos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Formato de e-mail; máx. 254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Palavra-passe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Mín. 12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MFA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Condicional</w:t>
            </w:r>
          </w:p>
        </w:tc>
        <w:tc>
          <w:tcPr/>
          <w:p>
            <w:pPr>
              <w:pStyle w:val="Compact"/>
            </w:pPr>
            <w:r>
              <w:t xml:space="preserve">6 dígitos; válido {{30 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Manter sessão</w:t>
            </w:r>
          </w:p>
        </w:tc>
        <w:tc>
          <w:tcPr/>
          <w:p>
            <w:pPr>
              <w:pStyle w:val="Compact"/>
            </w:pPr>
            <w:r>
              <w:t xml:space="preserve">booleano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Prolonga a sessão para {{30}} dias</w:t>
            </w:r>
          </w:p>
        </w:tc>
      </w:tr>
    </w:tbl>
    <w:bookmarkEnd w:id="82"/>
    <w:bookmarkStart w:id="83" w:name="mensagens-ao-utilizador"/>
    <w:p>
      <w:pPr>
        <w:pStyle w:val="Heading4"/>
      </w:pPr>
      <w:r>
        <w:t xml:space="preserve">Mensagens ao utilizador</w:t>
      </w:r>
    </w:p>
    <w:p>
      <w:pPr>
        <w:pStyle w:val="FirstParagraph"/>
      </w:pPr>
      <w:r>
        <w:t xml:space="preserve">O texto exato, para não ser inventado três vezes em três ecrãs. Alinhado com</w:t>
      </w:r>
      <w:r>
        <w:t xml:space="preserve"> </w:t>
      </w:r>
      <w:r>
        <w:rPr>
          <w:rStyle w:val="VerbatimChar"/>
        </w:rPr>
        <w:t xml:space="preserve">02-design/05-conteudo-e-microtextos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Credenciais inválidas</w:t>
            </w:r>
          </w:p>
        </w:tc>
        <w:tc>
          <w:tcPr/>
          <w:p>
            <w:pPr>
              <w:pStyle w:val="Compact"/>
            </w:pPr>
            <w:r>
              <w:t xml:space="preserve">{{«Credenciais inválidas.»}}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Conta bloqueada</w:t>
            </w:r>
          </w:p>
        </w:tc>
        <w:tc>
          <w:tcPr/>
          <w:p>
            <w:pPr>
              <w:pStyle w:val="Compact"/>
            </w:pPr>
            <w:r>
              <w:t xml:space="preserve">{{«Demasiadas tentativas. Tenta daqui a 15 minutos.»}}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Serviço indisponível</w:t>
            </w:r>
          </w:p>
        </w:tc>
        <w:tc>
          <w:tcPr/>
          <w:p>
            <w:pPr>
              <w:pStyle w:val="Compact"/>
            </w:pPr>
            <w:r>
              <w:t xml:space="preserve">{{«Serviço temporariamente indisponível. Tenta novamente.»}}</w:t>
            </w:r>
          </w:p>
        </w:tc>
      </w:tr>
    </w:tbl>
    <w:bookmarkEnd w:id="83"/>
    <w:bookmarkStart w:id="84" w:name="interface"/>
    <w:p>
      <w:pPr>
        <w:pStyle w:val="Heading4"/>
      </w:pPr>
      <w:r>
        <w:t xml:space="preserve">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Protótipo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E-01 Entrada</w:t>
            </w:r>
          </w:p>
        </w:tc>
        <w:tc>
          <w:tcPr/>
          <w:p>
            <w:pPr>
              <w:pStyle w:val="Compact"/>
            </w:pPr>
            <w:r>
              <w:t xml:space="preserve">Passos 1–2</w:t>
            </w:r>
          </w:p>
        </w:tc>
        <w:tc>
          <w:tcPr/>
          <w:p>
            <w:pPr>
              <w:pStyle w:val="Compact"/>
            </w:pPr>
            <w:r>
              <w:t xml:space="preserve">{{ligação ao protótipo}}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E-02 Segundo fator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{{ligação ao protótipo}}</w:t>
            </w:r>
          </w:p>
        </w:tc>
      </w:tr>
    </w:tbl>
    <w:bookmarkEnd w:id="84"/>
    <w:bookmarkStart w:id="88" w:name="diagrama-do-fluxo"/>
    <w:p>
      <w:pPr>
        <w:pStyle w:val="Heading4"/>
      </w:pPr>
      <w:r>
        <w:t xml:space="preserve">Diagrama do fluxo</w:t>
      </w:r>
    </w:p>
    <w:p>
      <w:pPr>
        <w:pStyle w:val="FirstParagraph"/>
      </w:pPr>
      <w:r>
        <w:drawing>
          <wp:inline>
            <wp:extent cx="5003999" cy="792073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out-3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999" cy="7920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critérios-de-aceitação"/>
    <w:p>
      <w:pPr>
        <w:pStyle w:val="Heading4"/>
      </w:pPr>
      <w:r>
        <w:t xml:space="preserve">Critérios de aceitação</w:t>
      </w:r>
    </w:p>
    <w:p>
      <w:pPr>
        <w:pStyle w:val="SourceCode"/>
      </w:pPr>
      <w:r>
        <w:rPr>
          <w:rStyle w:val="VerbatimChar"/>
        </w:rPr>
        <w:t xml:space="preserve">Funcionalidade: Autenticação de utilizador</w:t>
      </w:r>
      <w:r>
        <w:br/>
      </w:r>
      <w:r>
        <w:br/>
      </w:r>
      <w:r>
        <w:rPr>
          <w:rStyle w:val="VerbatimChar"/>
        </w:rPr>
        <w:t xml:space="preserve">  Cenário: Entrada com credenciais válidas</w:t>
      </w:r>
      <w:r>
        <w:br/>
      </w:r>
      <w:r>
        <w:rPr>
          <w:rStyle w:val="VerbatimChar"/>
        </w:rPr>
        <w:t xml:space="preserve">    Dado um utilizador ativo com credenciais corretas</w:t>
      </w:r>
      <w:r>
        <w:br/>
      </w:r>
      <w:r>
        <w:rPr>
          <w:rStyle w:val="VerbatimChar"/>
        </w:rPr>
        <w:t xml:space="preserve">    Quando submete o formulário de entrada</w:t>
      </w:r>
      <w:r>
        <w:br/>
      </w:r>
      <w:r>
        <w:rPr>
          <w:rStyle w:val="VerbatimChar"/>
        </w:rPr>
        <w:t xml:space="preserve">    Então é criada uma sessão autenticada</w:t>
      </w:r>
      <w:r>
        <w:br/>
      </w:r>
      <w:r>
        <w:rPr>
          <w:rStyle w:val="VerbatimChar"/>
        </w:rPr>
        <w:t xml:space="preserve">    E o evento fica no registo de auditoria</w:t>
      </w:r>
      <w:r>
        <w:br/>
      </w:r>
      <w:r>
        <w:rPr>
          <w:rStyle w:val="VerbatimChar"/>
        </w:rPr>
        <w:t xml:space="preserve">    E é encaminhado para o painel principal</w:t>
      </w:r>
      <w:r>
        <w:br/>
      </w:r>
      <w:r>
        <w:br/>
      </w:r>
      <w:r>
        <w:rPr>
          <w:rStyle w:val="VerbatimChar"/>
        </w:rPr>
        <w:t xml:space="preserve">  Cenário: Bloqueio após cinco tentativas falhadas</w:t>
      </w:r>
      <w:r>
        <w:br/>
      </w:r>
      <w:r>
        <w:rPr>
          <w:rStyle w:val="VerbatimChar"/>
        </w:rPr>
        <w:t xml:space="preserve">    Dado um utilizador com 4 tentativas falhadas nos últimos 15 minutos</w:t>
      </w:r>
      <w:r>
        <w:br/>
      </w:r>
      <w:r>
        <w:rPr>
          <w:rStyle w:val="VerbatimChar"/>
        </w:rPr>
        <w:t xml:space="preserve">    Quando submete credenciais erradas</w:t>
      </w:r>
      <w:r>
        <w:br/>
      </w:r>
      <w:r>
        <w:rPr>
          <w:rStyle w:val="VerbatimChar"/>
        </w:rPr>
        <w:t xml:space="preserve">    Então vê a mensagem de conta bloqueada</w:t>
      </w:r>
      <w:r>
        <w:br/>
      </w:r>
      <w:r>
        <w:rPr>
          <w:rStyle w:val="VerbatimChar"/>
        </w:rPr>
        <w:t xml:space="preserve">    E nenhuma sessão é criada</w:t>
      </w:r>
      <w:r>
        <w:br/>
      </w:r>
      <w:r>
        <w:rPr>
          <w:rStyle w:val="VerbatimChar"/>
        </w:rPr>
        <w:t xml:space="preserve">    E recebe um e-mail de aviso</w:t>
      </w:r>
      <w:r>
        <w:br/>
      </w:r>
      <w:r>
        <w:br/>
      </w:r>
      <w:r>
        <w:rPr>
          <w:rStyle w:val="VerbatimChar"/>
        </w:rPr>
        <w:t xml:space="preserve">  Cenário: Serviço de identidade indisponível</w:t>
      </w:r>
      <w:r>
        <w:br/>
      </w:r>
      <w:r>
        <w:rPr>
          <w:rStyle w:val="VerbatimChar"/>
        </w:rPr>
        <w:t xml:space="preserve">    Dado que o serviço de identidade não responde em 3 segundos</w:t>
      </w:r>
      <w:r>
        <w:br/>
      </w:r>
      <w:r>
        <w:rPr>
          <w:rStyle w:val="VerbatimChar"/>
        </w:rPr>
        <w:t xml:space="preserve">    Quando o utilizador submete credenciais válidas</w:t>
      </w:r>
      <w:r>
        <w:br/>
      </w:r>
      <w:r>
        <w:rPr>
          <w:rStyle w:val="VerbatimChar"/>
        </w:rPr>
        <w:t xml:space="preserve">    Então vê a mensagem de serviço indisponível</w:t>
      </w:r>
      <w:r>
        <w:br/>
      </w:r>
      <w:r>
        <w:rPr>
          <w:rStyle w:val="VerbatimChar"/>
        </w:rPr>
        <w:t xml:space="preserve">    E é disparado um alerta para o piquete</w:t>
      </w:r>
    </w:p>
    <w:bookmarkEnd w:id="89"/>
    <w:bookmarkStart w:id="90" w:name="rastreabilidade"/>
    <w:p>
      <w:pPr>
        <w:pStyle w:val="Heading4"/>
      </w:pPr>
      <w:r>
        <w:t xml:space="preserve">Rastreabilidade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Fluxo</w:t>
            </w:r>
          </w:p>
        </w:tc>
        <w:tc>
          <w:tcPr/>
          <w:p>
            <w:pPr>
              <w:pStyle w:val="Compact"/>
            </w:pPr>
            <w:r>
              <w:t xml:space="preserve">Caso de 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TC-001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RF-01, RN-01</w:t>
            </w:r>
          </w:p>
        </w:tc>
        <w:tc>
          <w:tcPr/>
          <w:p>
            <w:pPr>
              <w:pStyle w:val="Compact"/>
            </w:pPr>
            <w:r>
              <w:t xml:space="preserve">RN-01</w:t>
            </w:r>
          </w:p>
        </w:tc>
        <w:tc>
          <w:tcPr/>
          <w:p>
            <w:pPr>
              <w:pStyle w:val="Compact"/>
            </w:pPr>
            <w:r>
              <w:t xml:space="preserve">E1, E2</w:t>
            </w:r>
          </w:p>
        </w:tc>
        <w:tc>
          <w:tcPr/>
          <w:p>
            <w:pPr>
              <w:pStyle w:val="Compact"/>
            </w:pPr>
            <w:r>
              <w:t xml:space="preserve">TC-002, TC-003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E1, E4</w:t>
            </w:r>
          </w:p>
        </w:tc>
        <w:tc>
          <w:tcPr/>
          <w:p>
            <w:pPr>
              <w:pStyle w:val="Compact"/>
            </w:pPr>
            <w:r>
              <w:t xml:space="preserve">TC-004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Passo 5</w:t>
            </w:r>
          </w:p>
        </w:tc>
        <w:tc>
          <w:tcPr/>
          <w:p>
            <w:pPr>
              <w:pStyle w:val="Compact"/>
            </w:pPr>
            <w:r>
              <w:t xml:space="preserve">TC-005</w:t>
            </w:r>
          </w:p>
        </w:tc>
      </w:tr>
    </w:tbl>
    <w:bookmarkEnd w:id="90"/>
    <w:bookmarkStart w:id="91" w:name="questões-em-aberto"/>
    <w:p>
      <w:pPr>
        <w:pStyle w:val="Heading4"/>
      </w:pPr>
      <w:r>
        <w:t xml:space="preserve">Questões em aberto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</w:t>
            </w:r>
          </w:p>
        </w:tc>
        <w:tc>
          <w:tcPr/>
          <w:p>
            <w:pPr>
              <w:pStyle w:val="Compact"/>
            </w:pPr>
            <w:r>
              <w:t xml:space="preserve">{{Manter «lembrar-me»? Implicação de segurança?}}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bookmarkEnd w:id="91"/>
    <w:bookmarkStart w:id="92" w:name="histórico-do-caso-de-uso"/>
    <w:p>
      <w:pPr>
        <w:pStyle w:val="Heading4"/>
      </w:pPr>
      <w:r>
        <w:t xml:space="preserve">Histórico do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Versão inicial aprovada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{{Acrescentado A4 — palavra-passe expirada}}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96" w:name="formulário-em-branco"/>
    <w:p>
      <w:pPr>
        <w:pStyle w:val="Heading2"/>
      </w:pPr>
      <w:r>
        <w:t xml:space="preserve">6. Formulário em branco</w:t>
      </w:r>
    </w:p>
    <w:p>
      <w:pPr>
        <w:pStyle w:val="FirstParagraph"/>
      </w:pPr>
      <w:r>
        <w:t xml:space="preserve">Copia daqui para cada caso novo. Apagar um bloco é uma decisão — escreve «Não aplicável» e o motivo, em vez de o deixar cair em silêncio.</w:t>
      </w:r>
    </w:p>
    <w:bookmarkStart w:id="95" w:name="uc-nn-nome-do-caso"/>
    <w:p>
      <w:pPr>
        <w:pStyle w:val="Heading3"/>
      </w:pPr>
      <w:r>
        <w:t xml:space="preserve">UC-NN — {{Nome do caso}}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UC-NN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{{Verbo no infinitivo + objeto}}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 primário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 secundários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{{O que o ator leva daqui}}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{{Sistema}}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{{Resumo / Objetivo de utilizador / Sub-função}}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{{Must / Should / Could / Won’t}}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Complexidade</w:t>
            </w:r>
          </w:p>
        </w:tc>
        <w:tc>
          <w:tcPr/>
          <w:p>
            <w:pPr>
              <w:pStyle w:val="Compact"/>
            </w:pPr>
            <w:r>
              <w:t xml:space="preserve">{{Baixa / Média / Alta}}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de uso</w:t>
            </w:r>
          </w:p>
        </w:tc>
        <w:tc>
          <w:tcPr/>
          <w:p>
            <w:pPr>
              <w:pStyle w:val="Compact"/>
            </w:pPr>
            <w:r>
              <w:t xml:space="preserve">{{n vezes/dia; pico 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Canais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{{Rascunho / Em revisão / Aprovado / Retirado}}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{{RF-, RNF-}}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{{RN-}}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Casos de teste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Ecrãs</w:t>
            </w:r>
          </w:p>
        </w:tc>
        <w:tc>
          <w:tcPr/>
          <w:p>
            <w:pPr>
              <w:pStyle w:val="Compact"/>
            </w:pPr>
            <w:r>
              <w:t xml:space="preserve">{{E-}}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  <w:r>
              <w:t xml:space="preserve">: {{…}} ·</w:t>
            </w:r>
            <w:r>
              <w:t xml:space="preserve"> </w:t>
            </w:r>
            <w:r>
              <w:rPr>
                <w:rStyle w:val="VerbatimChar"/>
              </w:rPr>
              <w:t xml:space="preserve">extend</w:t>
            </w:r>
            <w:r>
              <w:t xml:space="preserve">: {{…}} · Generalização: 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Interessados e interesses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Interessado</w:t>
            </w:r>
          </w:p>
        </w:tc>
        <w:tc>
          <w:tcPr/>
          <w:p>
            <w:pPr>
              <w:pStyle w:val="Compact"/>
            </w:pPr>
            <w:r>
              <w:t xml:space="preserve">Interesse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Pré-condições</w:t>
      </w:r>
    </w:p>
    <w:p>
      <w:pPr>
        <w:pStyle w:val="Compact"/>
        <w:numPr>
          <w:ilvl w:val="0"/>
          <w:numId w:val="1018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Garantia mínima</w:t>
      </w:r>
    </w:p>
    <w:p>
      <w:pPr>
        <w:pStyle w:val="BodyText"/>
      </w:pPr>
      <w:r>
        <w:t xml:space="preserve">{{O que o sistema garante mesmo quando o caso falha.}}</w:t>
      </w:r>
    </w:p>
    <w:p>
      <w:pPr>
        <w:pStyle w:val="BodyText"/>
      </w:pPr>
      <w:r>
        <w:rPr>
          <w:b/>
          <w:bCs/>
        </w:rPr>
        <w:t xml:space="preserve">Pós-condições de sucesso</w:t>
      </w:r>
    </w:p>
    <w:p>
      <w:pPr>
        <w:pStyle w:val="Compact"/>
        <w:numPr>
          <w:ilvl w:val="0"/>
          <w:numId w:val="1019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Pós-condições de insucesso</w:t>
      </w:r>
    </w:p>
    <w:p>
      <w:pPr>
        <w:pStyle w:val="Compact"/>
        <w:numPr>
          <w:ilvl w:val="0"/>
          <w:numId w:val="1020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Gatilho</w:t>
      </w:r>
    </w:p>
    <w:p>
      <w:pPr>
        <w:pStyle w:val="BodyText"/>
      </w:pPr>
      <w:r>
        <w:t xml:space="preserve">{{…}}</w:t>
      </w:r>
    </w:p>
    <w:p>
      <w:pPr>
        <w:pStyle w:val="BodyText"/>
      </w:pPr>
      <w:r>
        <w:rPr>
          <w:b/>
          <w:bCs/>
        </w:rPr>
        <w:t xml:space="preserve">Fluxo principal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Pontos de extensão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Caso que estende</w:t>
            </w:r>
          </w:p>
        </w:tc>
        <w:tc>
          <w:tcPr/>
          <w:p>
            <w:pPr>
              <w:pStyle w:val="Compac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{{n}}</w:t>
            </w:r>
          </w:p>
        </w:tc>
        <w:tc>
          <w:tcPr/>
          <w:p>
            <w:pPr>
              <w:pStyle w:val="Compact"/>
            </w:pPr>
            <w:r>
              <w:t xml:space="preserve">{{UC-NN}}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Fluxos alternativos</w:t>
      </w:r>
    </w:p>
    <w:p>
      <w:pPr>
        <w:pStyle w:val="BodyText"/>
      </w:pPr>
      <w:r>
        <w:rPr>
          <w:b/>
          <w:bCs/>
        </w:rPr>
        <w:t xml:space="preserve">A1 — {{Nome}}</w:t>
      </w:r>
      <w:r>
        <w:t xml:space="preserve"> </w:t>
      </w:r>
      <w:r>
        <w:rPr>
          <w:i/>
          <w:iCs/>
        </w:rPr>
        <w:t xml:space="preserve">(no passo {{n}})</w:t>
      </w:r>
    </w:p>
    <w:p>
      <w:pPr>
        <w:pStyle w:val="Compact"/>
        <w:numPr>
          <w:ilvl w:val="0"/>
          <w:numId w:val="1021"/>
        </w:numPr>
      </w:pPr>
      <w:r>
        <w:t xml:space="preserve">{{…}}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Regressa ao passo {{n}} do fluxo principal.</w:t>
      </w:r>
    </w:p>
    <w:p>
      <w:pPr>
        <w:pStyle w:val="FirstParagraph"/>
      </w:pPr>
      <w:r>
        <w:rPr>
          <w:b/>
          <w:bCs/>
        </w:rPr>
        <w:t xml:space="preserve">Fluxos de exceção</w:t>
      </w:r>
    </w:p>
    <w:p>
      <w:pPr>
        <w:pStyle w:val="BodyText"/>
      </w:pPr>
      <w:r>
        <w:rPr>
          <w:b/>
          <w:bCs/>
        </w:rPr>
        <w:t xml:space="preserve">E1 — {{Nome}}</w:t>
      </w:r>
      <w:r>
        <w:t xml:space="preserve"> </w:t>
      </w:r>
      <w:r>
        <w:rPr>
          <w:i/>
          <w:iCs/>
        </w:rPr>
        <w:t xml:space="preserve">(no passo {{n}})</w:t>
      </w:r>
    </w:p>
    <w:p>
      <w:pPr>
        <w:pStyle w:val="Compact"/>
        <w:numPr>
          <w:ilvl w:val="0"/>
          <w:numId w:val="1022"/>
        </w:numPr>
      </w:pPr>
      <w:r>
        <w:t xml:space="preserve">{{O que o sistema faz e o que a pessoa vê}}</w:t>
      </w:r>
    </w:p>
    <w:p>
      <w:pPr>
        <w:pStyle w:val="Compact"/>
        <w:numPr>
          <w:ilvl w:val="0"/>
          <w:numId w:val="1022"/>
        </w:numPr>
      </w:pPr>
      <w:r>
        <w:t xml:space="preserve">{{O que fica registado}}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Variações de tecnologia e de dados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Requisitos especiais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Permissões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Pode iniciar</w:t>
            </w:r>
          </w:p>
        </w:tc>
        <w:tc>
          <w:tcPr/>
          <w:p>
            <w:pPr>
              <w:pStyle w:val="Compac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Dados envolvidos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Mensagens ao utilizador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{{«…»}}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Protótipo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{{E-NN}}</w:t>
            </w:r>
          </w:p>
        </w:tc>
        <w:tc>
          <w:tcPr/>
          <w:p>
            <w:pPr>
              <w:pStyle w:val="Compact"/>
            </w:pPr>
            <w:r>
              <w:t xml:space="preserve">{{passo}}</w:t>
            </w:r>
          </w:p>
        </w:tc>
        <w:tc>
          <w:tcPr/>
          <w:p>
            <w:pPr>
              <w:pStyle w:val="Compact"/>
            </w:pPr>
            <w:r>
              <w:t xml:space="preserve">{{ligação}}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Critérios de aceitação</w:t>
      </w:r>
    </w:p>
    <w:p>
      <w:pPr>
        <w:pStyle w:val="SourceCode"/>
      </w:pPr>
      <w:r>
        <w:rPr>
          <w:rStyle w:val="VerbatimChar"/>
        </w:rPr>
        <w:t xml:space="preserve">Funcionalidade: {{...}}</w:t>
      </w:r>
      <w:r>
        <w:br/>
      </w:r>
      <w:r>
        <w:br/>
      </w:r>
      <w:r>
        <w:rPr>
          <w:rStyle w:val="VerbatimChar"/>
        </w:rPr>
        <w:t xml:space="preserve">  Cenário: {{caminho feliz}}</w:t>
      </w:r>
      <w:r>
        <w:br/>
      </w:r>
      <w:r>
        <w:rPr>
          <w:rStyle w:val="VerbatimChar"/>
        </w:rPr>
        <w:t xml:space="preserve">    Dado {{...}}</w:t>
      </w:r>
      <w:r>
        <w:br/>
      </w:r>
      <w:r>
        <w:rPr>
          <w:rStyle w:val="VerbatimChar"/>
        </w:rPr>
        <w:t xml:space="preserve">    Quando {{...}}</w:t>
      </w:r>
      <w:r>
        <w:br/>
      </w:r>
      <w:r>
        <w:rPr>
          <w:rStyle w:val="VerbatimChar"/>
        </w:rPr>
        <w:t xml:space="preserve">    Então {{...}}</w:t>
      </w:r>
      <w:r>
        <w:br/>
      </w:r>
      <w:r>
        <w:br/>
      </w:r>
      <w:r>
        <w:rPr>
          <w:rStyle w:val="VerbatimChar"/>
        </w:rPr>
        <w:t xml:space="preserve">  Cenário: {{um caminho de exceção}}</w:t>
      </w:r>
      <w:r>
        <w:br/>
      </w:r>
      <w:r>
        <w:rPr>
          <w:rStyle w:val="VerbatimChar"/>
        </w:rPr>
        <w:t xml:space="preserve">    Dado {{...}}</w:t>
      </w:r>
      <w:r>
        <w:br/>
      </w:r>
      <w:r>
        <w:rPr>
          <w:rStyle w:val="VerbatimChar"/>
        </w:rPr>
        <w:t xml:space="preserve">    Quando {{...}}</w:t>
      </w:r>
      <w:r>
        <w:br/>
      </w:r>
      <w:r>
        <w:rPr>
          <w:rStyle w:val="VerbatimChar"/>
        </w:rPr>
        <w:t xml:space="preserve">    Então {{...}}</w:t>
      </w:r>
    </w:p>
    <w:p>
      <w:pPr>
        <w:pStyle w:val="FirstParagraph"/>
      </w:pPr>
      <w:r>
        <w:rPr>
          <w:b/>
          <w:bCs/>
        </w:rPr>
        <w:t xml:space="preserve">Rastreabilidade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Fluxo</w:t>
            </w:r>
          </w:p>
        </w:tc>
        <w:tc>
          <w:tcPr/>
          <w:p>
            <w:pPr>
              <w:pStyle w:val="Compact"/>
            </w:pPr>
            <w:r>
              <w:t xml:space="preserve">Caso de 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{{RF-}}</w:t>
            </w:r>
          </w:p>
        </w:tc>
        <w:tc>
          <w:tcPr/>
          <w:p>
            <w:pPr>
              <w:pStyle w:val="Compact"/>
            </w:pPr>
            <w:r>
              <w:t xml:space="preserve">{{RN-}}</w:t>
            </w:r>
          </w:p>
        </w:tc>
        <w:tc>
          <w:tcPr/>
          <w:p>
            <w:pPr>
              <w:pStyle w:val="Compact"/>
            </w:pPr>
            <w:r>
              <w:t xml:space="preserve">{{Principal}}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Questões em aberto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pPr>
        <w:pStyle w:val="BodyText"/>
      </w:pPr>
      <w:r>
        <w:rPr>
          <w:b/>
          <w:bCs/>
        </w:rPr>
        <w:t xml:space="preserve">Histórico do caso de uso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{{0.1}}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Versão inicial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0" w:name="formatos-abreviados"/>
    <w:p>
      <w:pPr>
        <w:pStyle w:val="Heading2"/>
      </w:pPr>
      <w:r>
        <w:t xml:space="preserve">7. Formatos abreviados</w:t>
      </w:r>
    </w:p>
    <w:p>
      <w:pPr>
        <w:pStyle w:val="FirstParagraph"/>
      </w:pPr>
      <w:r>
        <w:t xml:space="preserve">Nem todos os casos justificam a ficha completa. Estes dois formatos existem para não gastar dez páginas num passo trivial — e só se usam quando</w:t>
      </w:r>
      <w:r>
        <w:t xml:space="preserve"> </w:t>
      </w:r>
      <w:r>
        <w:rPr>
          <w:b/>
          <w:bCs/>
        </w:rPr>
        <w:t xml:space="preserve">não há fluxos alternativos ou de exceção com decisão de negócio dentro</w:t>
      </w:r>
      <w:r>
        <w:t xml:space="preserve">.</w:t>
      </w:r>
    </w:p>
    <w:bookmarkStart w:id="98" w:name="sub-função-formato-breve"/>
    <w:p>
      <w:pPr>
        <w:pStyle w:val="Heading3"/>
      </w:pPr>
      <w:r>
        <w:t xml:space="preserve">7.1 Sub-função (formato breve)</w:t>
      </w:r>
    </w:p>
    <w:bookmarkStart w:id="97" w:name="uc-06-validar-stock"/>
    <w:p>
      <w:pPr>
        <w:pStyle w:val="Heading4"/>
      </w:pPr>
      <w:r>
        <w:t xml:space="preserve">UC-06 — Validar stock</w:t>
      </w:r>
    </w:p>
    <w:p>
      <w:pPr>
        <w:pStyle w:val="FirstParagraph"/>
      </w:pPr>
      <w:r>
        <w:rPr>
          <w:b/>
          <w:bCs/>
        </w:rPr>
        <w:t xml:space="preserve">Ator:</w:t>
      </w:r>
      <w:r>
        <w:t xml:space="preserve"> </w:t>
      </w:r>
      <w:r>
        <w:t xml:space="preserve">Sistema (incluído por UC-02)</w:t>
      </w:r>
      <w:r>
        <w:t xml:space="preserve"> </w:t>
      </w:r>
      <w:r>
        <w:rPr>
          <w:b/>
          <w:bCs/>
        </w:rPr>
        <w:t xml:space="preserve">Fluxo:</w:t>
      </w:r>
      <w:r>
        <w:t xml:space="preserve"> </w:t>
      </w:r>
      <w:r>
        <w:t xml:space="preserve">O sistema consulta a disponibilidade de cada linha da encomenda no serviço de inventário; se todas as linhas têm stock, devolve OK; caso contrário devolve a lista de linhas insuficientes.</w:t>
      </w:r>
      <w:r>
        <w:t xml:space="preserve"> </w:t>
      </w:r>
      <w:r>
        <w:rPr>
          <w:b/>
          <w:bCs/>
        </w:rPr>
        <w:t xml:space="preserve">Exceção:</w:t>
      </w:r>
      <w:r>
        <w:t xml:space="preserve"> </w:t>
      </w:r>
      <w:r>
        <w:t xml:space="preserve">Serviço de inventário indisponível → assume indisponível e sinaliza para revisão manual (RN-11).</w:t>
      </w:r>
      <w:r>
        <w:t xml:space="preserve"> </w:t>
      </w:r>
      <w:r>
        <w:rPr>
          <w:b/>
          <w:bCs/>
        </w:rPr>
        <w:t xml:space="preserve">Rastreabilidade:</w:t>
      </w:r>
      <w:r>
        <w:t xml:space="preserve"> </w:t>
      </w:r>
      <w:r>
        <w:t xml:space="preserve">RF-07 · TC-020.</w:t>
      </w:r>
    </w:p>
    <w:bookmarkEnd w:id="97"/>
    <w:bookmarkEnd w:id="98"/>
    <w:bookmarkStart w:id="99" w:name="crud-compacto"/>
    <w:p>
      <w:pPr>
        <w:pStyle w:val="Heading3"/>
      </w:pPr>
      <w:r>
        <w:t xml:space="preserve">7.2 CRUD compacto</w:t>
      </w:r>
    </w:p>
    <w:p>
      <w:pPr>
        <w:pStyle w:val="FirstParagraph"/>
      </w:pPr>
      <w:r>
        <w:t xml:space="preserve">Para entidades administradas por um único perfil, com comportamento uniforme, um quadro chega. Qualquer célula que fuja ao padrão passa a caso de uso completo.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Operação</w:t>
            </w:r>
          </w:p>
        </w:tc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Pré-condição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Exceção</w:t>
            </w:r>
          </w:p>
        </w:tc>
        <w:tc>
          <w:tcPr/>
          <w:p>
            <w:pPr>
              <w:pStyle w:val="Compact"/>
            </w:pPr>
            <w:r>
              <w:t xml:space="preserve">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 {{entidade}}</w:t>
            </w:r>
          </w:p>
        </w:tc>
        <w:tc>
          <w:tcPr/>
          <w:p>
            <w:pPr>
              <w:pStyle w:val="Compact"/>
            </w:pPr>
            <w:r>
              <w:t xml:space="preserve">{{Admin}}</w:t>
            </w:r>
          </w:p>
        </w:tc>
        <w:tc>
          <w:tcPr/>
          <w:p>
            <w:pPr>
              <w:pStyle w:val="Compact"/>
            </w:pPr>
            <w:r>
              <w:t xml:space="preserve">{{Sessão com perfil X}}</w:t>
            </w:r>
          </w:p>
        </w:tc>
        <w:tc>
          <w:tcPr/>
          <w:p>
            <w:pPr>
              <w:pStyle w:val="Compact"/>
            </w:pPr>
            <w:r>
              <w:t xml:space="preserve">{{Código único}}</w:t>
            </w:r>
          </w:p>
        </w:tc>
        <w:tc>
          <w:tcPr/>
          <w:p>
            <w:pPr>
              <w:pStyle w:val="Compact"/>
            </w:pPr>
            <w:r>
              <w:t xml:space="preserve">{{Código repetido → erro no campo}}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</w:t>
            </w:r>
          </w:p>
        </w:tc>
        <w:tc>
          <w:tcPr/>
          <w:p>
            <w:pPr>
              <w:pStyle w:val="Compact"/>
            </w:pPr>
            <w:r>
              <w:t xml:space="preserve">{{Admin, Gestor}}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{{Só as da própria delegação}}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Alterar</w:t>
            </w:r>
          </w:p>
        </w:tc>
        <w:tc>
          <w:tcPr/>
          <w:p>
            <w:pPr>
              <w:pStyle w:val="Compact"/>
            </w:pPr>
            <w:r>
              <w:t xml:space="preserve">{{Admin}}</w:t>
            </w:r>
          </w:p>
        </w:tc>
        <w:tc>
          <w:tcPr/>
          <w:p>
            <w:pPr>
              <w:pStyle w:val="Compact"/>
            </w:pPr>
            <w:r>
              <w:t xml:space="preserve">{{Registo existe}}</w:t>
            </w:r>
          </w:p>
        </w:tc>
        <w:tc>
          <w:tcPr/>
          <w:p>
            <w:pPr>
              <w:pStyle w:val="Compact"/>
            </w:pPr>
            <w:r>
              <w:t xml:space="preserve">{{Histórico guardado}}</w:t>
            </w:r>
          </w:p>
        </w:tc>
        <w:tc>
          <w:tcPr/>
          <w:p>
            <w:pPr>
              <w:pStyle w:val="Compact"/>
            </w:pPr>
            <w:r>
              <w:t xml:space="preserve">{{Alterado entretanto → conflito}}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</w:t>
            </w:r>
          </w:p>
        </w:tc>
        <w:tc>
          <w:tcPr/>
          <w:p>
            <w:pPr>
              <w:pStyle w:val="Compact"/>
            </w:pPr>
            <w:r>
              <w:t xml:space="preserve">{{Admin}}</w:t>
            </w:r>
          </w:p>
        </w:tc>
        <w:tc>
          <w:tcPr/>
          <w:p>
            <w:pPr>
              <w:pStyle w:val="Compact"/>
            </w:pPr>
            <w:r>
              <w:t xml:space="preserve">{{Sem dependências}}</w:t>
            </w:r>
          </w:p>
        </w:tc>
        <w:tc>
          <w:tcPr/>
          <w:p>
            <w:pPr>
              <w:pStyle w:val="Compact"/>
            </w:pPr>
            <w:r>
              <w:t xml:space="preserve">{{Eliminação lógica}}</w:t>
            </w:r>
          </w:p>
        </w:tc>
        <w:tc>
          <w:tcPr/>
          <w:p>
            <w:pPr>
              <w:pStyle w:val="Compact"/>
            </w:pPr>
            <w:r>
              <w:t xml:space="preserve">{{Tem dependências → recusa e explica}}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End w:id="100"/>
    <w:bookmarkStart w:id="101" w:name="rastreabilidade-do-conjunto"/>
    <w:p>
      <w:pPr>
        <w:pStyle w:val="Heading2"/>
      </w:pPr>
      <w:r>
        <w:t xml:space="preserve">8. Rastreabilidade do conjunto</w:t>
      </w:r>
    </w:p>
    <w:p>
      <w:pPr>
        <w:pStyle w:val="FirstParagraph"/>
      </w:pPr>
      <w:r>
        <w:t xml:space="preserve">A matriz completa vive em</w:t>
      </w:r>
      <w:r>
        <w:t xml:space="preserve"> </w:t>
      </w:r>
      <w:r>
        <w:rPr>
          <w:rStyle w:val="VerbatimChar"/>
        </w:rPr>
        <w:t xml:space="preserve">01-requisitos/05-matriz-rastreabilidade</w:t>
      </w:r>
      <w:r>
        <w:t xml:space="preserve">. Aqui fica a vista pelo lado dos casos de uso, para se ver de relance o que está descoberto.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Regras</w:t>
            </w:r>
          </w:p>
        </w:tc>
        <w:tc>
          <w:tcPr/>
          <w:p>
            <w:pPr>
              <w:pStyle w:val="Compact"/>
            </w:pPr>
            <w:r>
              <w:t xml:space="preserve">Casos de teste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RF-01, RNF-13, RNF-17</w:t>
            </w:r>
          </w:p>
        </w:tc>
        <w:tc>
          <w:tcPr/>
          <w:p>
            <w:pPr>
              <w:pStyle w:val="Compact"/>
            </w:pPr>
            <w:r>
              <w:t xml:space="preserve">RN-01, RN-08</w:t>
            </w:r>
          </w:p>
        </w:tc>
        <w:tc>
          <w:tcPr/>
          <w:p>
            <w:pPr>
              <w:pStyle w:val="Compact"/>
            </w:pPr>
            <w:r>
              <w:t xml:space="preserve">TC-001 … TC-005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RF-06, RF-07</w:t>
            </w:r>
          </w:p>
        </w:tc>
        <w:tc>
          <w:tcPr/>
          <w:p>
            <w:pPr>
              <w:pStyle w:val="Compact"/>
            </w:pPr>
            <w:r>
              <w:t xml:space="preserve">RN-02, RN-11</w:t>
            </w:r>
          </w:p>
        </w:tc>
        <w:tc>
          <w:tcPr/>
          <w:p>
            <w:pPr>
              <w:pStyle w:val="Compact"/>
            </w:pPr>
            <w:r>
              <w:t xml:space="preserve">TC-010 … TC-014</w:t>
            </w:r>
          </w:p>
        </w:tc>
        <w:tc>
          <w:tcPr/>
          <w:p>
            <w:pPr>
              <w:pStyle w:val="Compact"/>
            </w:pPr>
            <w:r>
              <w:t xml:space="preserve">{{Parcial — falta E4}}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{{—}}</w:t>
            </w:r>
          </w:p>
        </w:tc>
        <w:tc>
          <w:tcPr/>
          <w:p>
            <w:pPr>
              <w:pStyle w:val="Compact"/>
            </w:pPr>
            <w:r>
              <w:t xml:space="preserve">{{Sem testes}}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Requisitos sem caso de uso:</w:t>
      </w:r>
      <w:r>
        <w:t xml:space="preserve"> </w:t>
      </w:r>
      <w:r>
        <w:t xml:space="preserve">{{RF-12}} — {{decidir se é caso de uso ou regra}}</w:t>
      </w:r>
      <w:r>
        <w:t xml:space="preserve"> </w:t>
      </w:r>
      <w:r>
        <w:rPr>
          <w:b/>
          <w:bCs/>
        </w:rPr>
        <w:t xml:space="preserve">Casos de uso sem requisito:</w:t>
      </w:r>
      <w:r>
        <w:t xml:space="preserve"> </w:t>
      </w:r>
      <w:r>
        <w:t xml:space="preserve">{{nenhum}} — se aparecer algum, ou falta o requisito ou o caso está a mais.</w:t>
      </w:r>
    </w:p>
    <w:p>
      <w:r>
        <w:pict>
          <v:rect style="width:0;height:1.5pt" o:hralign="center" o:hrstd="t" o:hr="t"/>
        </w:pict>
      </w:r>
    </w:p>
    <w:bookmarkEnd w:id="101"/>
    <w:bookmarkStart w:id="102" w:name="lista-de-verificação-antes-de-aprovar"/>
    <w:p>
      <w:pPr>
        <w:pStyle w:val="Heading2"/>
      </w:pPr>
      <w:r>
        <w:t xml:space="preserve">9. Lista de verificação antes de aprovar</w:t>
      </w:r>
    </w:p>
    <w:p>
      <w:pPr>
        <w:pStyle w:val="Compact"/>
        <w:numPr>
          <w:ilvl w:val="0"/>
          <w:numId w:val="1023"/>
        </w:numPr>
      </w:pPr>
      <w:r>
        <w:t xml:space="preserve">O nome é verbo + objeto, na linguagem do negócio</w:t>
      </w:r>
    </w:p>
    <w:p>
      <w:pPr>
        <w:pStyle w:val="Compact"/>
        <w:numPr>
          <w:ilvl w:val="0"/>
          <w:numId w:val="1024"/>
        </w:numPr>
      </w:pPr>
      <w:r>
        <w:t xml:space="preserve">O nível está declarado e é o do mar (ou há motivo escrito para não ser)</w:t>
      </w:r>
    </w:p>
    <w:p>
      <w:pPr>
        <w:pStyle w:val="Compact"/>
        <w:numPr>
          <w:ilvl w:val="0"/>
          <w:numId w:val="1025"/>
        </w:numPr>
      </w:pPr>
      <w:r>
        <w:t xml:space="preserve">O ator primário tem um objetivo, não uma tarefa</w:t>
      </w:r>
    </w:p>
    <w:p>
      <w:pPr>
        <w:pStyle w:val="Compact"/>
        <w:numPr>
          <w:ilvl w:val="0"/>
          <w:numId w:val="1026"/>
        </w:numPr>
      </w:pPr>
      <w:r>
        <w:t xml:space="preserve">As pré-condições são verificáveis, não intenções</w:t>
      </w:r>
    </w:p>
    <w:p>
      <w:pPr>
        <w:pStyle w:val="Compact"/>
        <w:numPr>
          <w:ilvl w:val="0"/>
          <w:numId w:val="1027"/>
        </w:numPr>
      </w:pPr>
      <w:r>
        <w:t xml:space="preserve">A garantia mínima diz o que se mantém verdadeiro mesmo em falha</w:t>
      </w:r>
    </w:p>
    <w:p>
      <w:pPr>
        <w:pStyle w:val="Compact"/>
        <w:numPr>
          <w:ilvl w:val="0"/>
          <w:numId w:val="1028"/>
        </w:numPr>
      </w:pPr>
      <w:r>
        <w:t xml:space="preserve">O fluxo principal tem entre 3 e 9 passos e não menciona ecrãs nem tabelas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 pelo menos um fluxo alternativo, ou está escrito porque não existe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Cada passo do fluxo principal foi interrogado: o que pode falhar aqui?</w:t>
      </w:r>
    </w:p>
    <w:p>
      <w:pPr>
        <w:pStyle w:val="Compact"/>
        <w:numPr>
          <w:ilvl w:val="0"/>
          <w:numId w:val="1031"/>
        </w:numPr>
      </w:pPr>
      <w:r>
        <w:t xml:space="preserve">Cada fluxo alternativo diz onde diverge e para onde regressa</w:t>
      </w:r>
    </w:p>
    <w:p>
      <w:pPr>
        <w:pStyle w:val="Compact"/>
        <w:numPr>
          <w:ilvl w:val="0"/>
          <w:numId w:val="1032"/>
        </w:numPr>
      </w:pPr>
      <w:r>
        <w:t xml:space="preserve">Cada fluxo de exceção diz o que a pessoa vê e o que fica registado</w:t>
      </w:r>
    </w:p>
    <w:p>
      <w:pPr>
        <w:pStyle w:val="Compact"/>
        <w:numPr>
          <w:ilvl w:val="0"/>
          <w:numId w:val="1033"/>
        </w:numPr>
      </w:pPr>
      <w:r>
        <w:t xml:space="preserve">Erros de sistema externo, tempo esgotado e perda de ligação estão cobertos</w:t>
      </w:r>
    </w:p>
    <w:p>
      <w:pPr>
        <w:pStyle w:val="Compact"/>
        <w:numPr>
          <w:ilvl w:val="0"/>
          <w:numId w:val="1034"/>
        </w:numPr>
      </w:pPr>
      <w:r>
        <w:t xml:space="preserve">Concorrência considerada: dois atores no mesmo registo ao mesmo tempo</w:t>
      </w:r>
    </w:p>
    <w:p>
      <w:pPr>
        <w:pStyle w:val="Compact"/>
        <w:numPr>
          <w:ilvl w:val="0"/>
          <w:numId w:val="1035"/>
        </w:numPr>
      </w:pPr>
      <w:r>
        <w:t xml:space="preserve">Permissões insuficientes têm caminho definido</w:t>
      </w:r>
    </w:p>
    <w:p>
      <w:pPr>
        <w:pStyle w:val="Compact"/>
        <w:numPr>
          <w:ilvl w:val="0"/>
          <w:numId w:val="1036"/>
        </w:numPr>
      </w:pPr>
      <w:r>
        <w:t xml:space="preserve">Estado vazio e valores-limite aparecem nos dados ou nos critérios</w:t>
      </w:r>
    </w:p>
    <w:p>
      <w:pPr>
        <w:pStyle w:val="Compact"/>
        <w:numPr>
          <w:ilvl w:val="0"/>
          <w:numId w:val="1037"/>
        </w:numPr>
      </w:pPr>
      <w:r>
        <w:t xml:space="preserve">Todos os</w:t>
      </w:r>
      <w:r>
        <w:t xml:space="preserve"> </w:t>
      </w:r>
      <w:r>
        <w:rPr>
          <w:rStyle w:val="VerbatimChar"/>
        </w:rPr>
        <w:t xml:space="preserve">RF-</w:t>
      </w:r>
      <w:r>
        <w:t xml:space="preserve">,</w:t>
      </w:r>
      <w:r>
        <w:t xml:space="preserve"> </w:t>
      </w:r>
      <w:r>
        <w:rPr>
          <w:rStyle w:val="VerbatimChar"/>
        </w:rPr>
        <w:t xml:space="preserve">RN-</w:t>
      </w:r>
      <w:r>
        <w:t xml:space="preserve">,</w:t>
      </w:r>
      <w:r>
        <w:t xml:space="preserve"> </w:t>
      </w:r>
      <w:r>
        <w:rPr>
          <w:rStyle w:val="VerbatimChar"/>
        </w:rPr>
        <w:t xml:space="preserve">TC-</w:t>
      </w:r>
      <w:r>
        <w:t xml:space="preserve"> </w:t>
      </w:r>
      <w:r>
        <w:t xml:space="preserve">citados existem mesmo</w:t>
      </w:r>
    </w:p>
    <w:p>
      <w:pPr>
        <w:pStyle w:val="Compact"/>
        <w:numPr>
          <w:ilvl w:val="0"/>
          <w:numId w:val="1038"/>
        </w:numPr>
      </w:pPr>
      <w:r>
        <w:t xml:space="preserve">Nenhum</w:t>
      </w:r>
      <w:r>
        <w:t xml:space="preserve"> </w:t>
      </w:r>
      <w:r>
        <w:rPr>
          <w:rStyle w:val="VerbatimChar"/>
        </w:rPr>
        <w:t xml:space="preserve">{{ }}</w:t>
      </w:r>
      <w:r>
        <w:t xml:space="preserve"> </w:t>
      </w:r>
      <w:r>
        <w:t xml:space="preserve">por substituir</w:t>
      </w:r>
    </w:p>
    <w:p>
      <w:pPr>
        <w:pStyle w:val="Compact"/>
        <w:numPr>
          <w:ilvl w:val="0"/>
          <w:numId w:val="1039"/>
        </w:numPr>
      </w:pPr>
      <w:r>
        <w:t xml:space="preserve">Os critérios de aceitação cobrem caminho feliz e pelo menos uma exceção</w:t>
      </w:r>
    </w:p>
    <w:p>
      <w:pPr>
        <w:pStyle w:val="Compact"/>
        <w:numPr>
          <w:ilvl w:val="0"/>
          <w:numId w:val="1040"/>
        </w:numPr>
      </w:pPr>
      <w:r>
        <w:t xml:space="preserve">O histórico regista o que mudou desde a versão anterior</w:t>
      </w:r>
    </w:p>
    <w:p>
      <w:r>
        <w:pict>
          <v:rect style="width:0;height:1.5pt" o:hralign="center" o:hrstd="t" o:hr="t"/>
        </w:pict>
      </w:r>
    </w:p>
    <w:bookmarkEnd w:id="102"/>
    <w:bookmarkStart w:id="103" w:name="antipadrões"/>
    <w:p>
      <w:pPr>
        <w:pStyle w:val="Heading2"/>
      </w:pPr>
      <w:r>
        <w:t xml:space="preserve">10. Antipadrões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Antipadrão</w:t>
            </w:r>
          </w:p>
        </w:tc>
        <w:tc>
          <w:tcPr/>
          <w:p>
            <w:pPr>
              <w:pStyle w:val="Compact"/>
            </w:pPr>
            <w:r>
              <w:t xml:space="preserve">Porque falha</w:t>
            </w:r>
          </w:p>
        </w:tc>
        <w:tc>
          <w:tcPr/>
          <w:p>
            <w:pPr>
              <w:pStyle w:val="Compact"/>
            </w:pPr>
            <w:r>
              <w:t xml:space="preserve">Em vez disso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«Gerir X»</w:t>
            </w:r>
          </w:p>
        </w:tc>
        <w:tc>
          <w:tcPr/>
          <w:p>
            <w:pPr>
              <w:pStyle w:val="Compact"/>
            </w:pPr>
            <w:r>
              <w:t xml:space="preserve">Esconde quatro objetivos diferentes</w:t>
            </w:r>
          </w:p>
        </w:tc>
        <w:tc>
          <w:tcPr/>
          <w:p>
            <w:pPr>
              <w:pStyle w:val="Compact"/>
            </w:pPr>
            <w:r>
              <w:t xml:space="preserve">Um caso por objetivo, ou o quadro CRUD da secção 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principal com 30 passos</w:t>
            </w:r>
          </w:p>
        </w:tc>
        <w:tc>
          <w:tcPr/>
          <w:p>
            <w:pPr>
              <w:pStyle w:val="Compact"/>
            </w:pPr>
            <w:r>
              <w:t xml:space="preserve">Já não é um objetivo, é um processo</w:t>
            </w:r>
          </w:p>
        </w:tc>
        <w:tc>
          <w:tcPr/>
          <w:p>
            <w:pPr>
              <w:pStyle w:val="Compact"/>
            </w:pPr>
            <w:r>
              <w:t xml:space="preserve">Sobe de nível e extrai sub-funções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Só caminho feliz</w:t>
            </w:r>
          </w:p>
        </w:tc>
        <w:tc>
          <w:tcPr/>
          <w:p>
            <w:pPr>
              <w:pStyle w:val="Compact"/>
            </w:pPr>
            <w:r>
              <w:t xml:space="preserve">Deixa 70 % do trabalho por descobrir</w:t>
            </w:r>
          </w:p>
        </w:tc>
        <w:tc>
          <w:tcPr/>
          <w:p>
            <w:pPr>
              <w:pStyle w:val="Compact"/>
            </w:pPr>
            <w:r>
              <w:t xml:space="preserve">Uma passagem por cada passo à procura do que falha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Passos que descrevem ecrãs</w:t>
            </w:r>
          </w:p>
        </w:tc>
        <w:tc>
          <w:tcPr/>
          <w:p>
            <w:pPr>
              <w:pStyle w:val="Compact"/>
            </w:pPr>
            <w:r>
              <w:t xml:space="preserve">Prende o requisito a um desenho que vai mudar</w:t>
            </w:r>
          </w:p>
        </w:tc>
        <w:tc>
          <w:tcPr/>
          <w:p>
            <w:pPr>
              <w:pStyle w:val="Compact"/>
            </w:pPr>
            <w:r>
              <w:t xml:space="preserve">«O sistema apresenta os artigos em falta», não «mostra a grelha vermelha»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Passos que descrevem tabelas</w:t>
            </w:r>
          </w:p>
        </w:tc>
        <w:tc>
          <w:tcPr/>
          <w:p>
            <w:pPr>
              <w:pStyle w:val="Compact"/>
            </w:pPr>
            <w:r>
              <w:t xml:space="preserve">Prende o requisito à implementação</w:t>
            </w:r>
          </w:p>
        </w:tc>
        <w:tc>
          <w:tcPr/>
          <w:p>
            <w:pPr>
              <w:pStyle w:val="Compact"/>
            </w:pPr>
            <w:r>
              <w:t xml:space="preserve">Fala do que o negócio observa, não do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para tudo</w:t>
            </w:r>
          </w:p>
        </w:tc>
        <w:tc>
          <w:tcPr/>
          <w:p>
            <w:pPr>
              <w:pStyle w:val="Compact"/>
            </w:pPr>
            <w:r>
              <w:t xml:space="preserve">Fragmenta a leitura sem ganho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só quando três ou mais casos partilham o passo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Exceção sem desfecho</w:t>
            </w:r>
          </w:p>
        </w:tc>
        <w:tc>
          <w:tcPr/>
          <w:p>
            <w:pPr>
              <w:pStyle w:val="Compact"/>
            </w:pPr>
            <w:r>
              <w:t xml:space="preserve">Ninguém sabe em que estado o sistema fica</w:t>
            </w:r>
          </w:p>
        </w:tc>
        <w:tc>
          <w:tcPr/>
          <w:p>
            <w:pPr>
              <w:pStyle w:val="Compact"/>
            </w:pPr>
            <w:r>
              <w:t xml:space="preserve">Toda a exceção termina em regresso a um passo ou em fim com insucesso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 de uso sem teste</w:t>
            </w:r>
          </w:p>
        </w:tc>
        <w:tc>
          <w:tcPr/>
          <w:p>
            <w:pPr>
              <w:pStyle w:val="Compact"/>
            </w:pPr>
            <w:r>
              <w:t xml:space="preserve">Não há como provar que está feito</w:t>
            </w:r>
          </w:p>
        </w:tc>
        <w:tc>
          <w:tcPr/>
          <w:p>
            <w:pPr>
              <w:pStyle w:val="Compact"/>
            </w:pPr>
            <w:r>
              <w:t xml:space="preserve">Uma linha na rastreabilidade por fluxo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histórico-do-documento"/>
    <w:p>
      <w:pPr>
        <w:pStyle w:val="Heading2"/>
      </w:pPr>
      <w:r>
        <w:t xml:space="preserve">11. Histórico do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{{0.1}}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{{Versão inicial}}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bookmarkEnd w:id="10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7" Target="media/rId57.png" /><Relationship Type="http://schemas.openxmlformats.org/officeDocument/2006/relationships/image" Id="rId62" Target="media/rId62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— {{Nome do Sistema}}</dc:title>
  <dc:creator/>
  <dc:language>pt-PT</dc:language>
  <cp:keywords/>
  <dcterms:created xsi:type="dcterms:W3CDTF">2026-08-31T10:40:04Z</dcterms:created>
  <dcterms:modified xsi:type="dcterms:W3CDTF">2026-08-31T10:40:04Z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