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Reuniões de Cadência — guião por tipo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 ritmo do projeto é a soma destas reuniões. Cada uma tem uma pergunta a que</w:t>
      </w:r>
      <w:r>
        <w:t xml:space="preserve"> </w:t>
      </w:r>
      <w:r>
        <w:t xml:space="preserve">responde; quando duas respondem à mesma, uma delas é para eliminar.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{{PROJETO}}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do ciclo</w:t>
            </w:r>
          </w:p>
        </w:tc>
        <w:tc>
          <w:tcPr/>
          <w:p>
            <w:pPr>
              <w:pStyle w:val="Compact"/>
            </w:pPr>
            <w:r>
              <w:t xml:space="preserve">{{Sprint de 2 semanas}}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 cadência</w:t>
            </w:r>
          </w:p>
        </w:tc>
        <w:tc>
          <w:tcPr/>
          <w:p>
            <w:pPr>
              <w:pStyle w:val="Compact"/>
            </w:pPr>
            <w:r>
              <w:t xml:space="preserve">{{Gestor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 da cadência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2" w:name="mapa-de-cadências"/>
    <w:p>
      <w:pPr>
        <w:pStyle w:val="Heading2"/>
      </w:pPr>
      <w:r>
        <w:t xml:space="preserve">1. Mapa de cadências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Reunião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Pergunta a que responde</w:t>
            </w:r>
          </w:p>
        </w:tc>
      </w:tr>
      <w:tr>
        <w:tc>
          <w:tcPr/>
          <w:p>
            <w:pPr>
              <w:pStyle w:val="Compact"/>
            </w:pPr>
            <w:hyperlink w:anchor="Xd0cb3f72a5bfb0430e3d78f1a9a1fc029324a1a">
              <w:r>
                <w:rPr>
                  <w:rStyle w:val="Hyperlink"/>
                </w:rPr>
                <w:t xml:space="preserve">Ponto diário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O que nos impede de avançar hoje?</w:t>
            </w:r>
          </w:p>
        </w:tc>
      </w:tr>
      <w:tr>
        <w:tc>
          <w:tcPr/>
          <w:p>
            <w:pPr>
              <w:pStyle w:val="Compact"/>
            </w:pPr>
            <w:hyperlink w:anchor="Xc3689afd5195bad96130ee475796e14cd22801c">
              <w:r>
                <w:rPr>
                  <w:rStyle w:val="Hyperlink"/>
                </w:rPr>
                <w:t xml:space="preserve">Refinamento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  <w:tc>
          <w:tcPr/>
          <w:p>
            <w:pPr>
              <w:pStyle w:val="Compact"/>
            </w:pPr>
            <w:r>
              <w:t xml:space="preserve">{{60 min}}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  <w:tc>
          <w:tcPr/>
          <w:p>
            <w:pPr>
              <w:pStyle w:val="Compact"/>
            </w:pPr>
            <w:r>
              <w:t xml:space="preserve">O que vem a seguir está pronto a ser feito?</w:t>
            </w:r>
          </w:p>
        </w:tc>
      </w:tr>
      <w:tr>
        <w:tc>
          <w:tcPr/>
          <w:p>
            <w:pPr>
              <w:pStyle w:val="Compact"/>
            </w:pPr>
            <w:hyperlink w:anchor="Xdc21668d655eff4c456ff3ac6c563f8583712af">
              <w:r>
                <w:rPr>
                  <w:rStyle w:val="Hyperlink"/>
                </w:rPr>
                <w:t xml:space="preserve">Planeamento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ciclo</w:t>
            </w:r>
          </w:p>
        </w:tc>
        <w:tc>
          <w:tcPr/>
          <w:p>
            <w:pPr>
              <w:pStyle w:val="Compact"/>
            </w:pPr>
            <w:r>
              <w:t xml:space="preserve">{{60–90 min}}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  <w:tc>
          <w:tcPr/>
          <w:p>
            <w:pPr>
              <w:pStyle w:val="Compact"/>
            </w:pPr>
            <w:r>
              <w:t xml:space="preserve">A que nos comprometemos neste ciclo?</w:t>
            </w:r>
          </w:p>
        </w:tc>
      </w:tr>
      <w:tr>
        <w:tc>
          <w:tcPr/>
          <w:p>
            <w:pPr>
              <w:pStyle w:val="Compact"/>
            </w:pPr>
            <w:hyperlink w:anchor="Xef8cf800ee8f1edad10a3304b1d2cf8ea19f10c">
              <w:r>
                <w:rPr>
                  <w:rStyle w:val="Hyperlink"/>
                </w:rPr>
                <w:t xml:space="preserve">Revisão / 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ciclo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Equipa + interessados</w:t>
            </w:r>
          </w:p>
        </w:tc>
        <w:tc>
          <w:tcPr/>
          <w:p>
            <w:pPr>
              <w:pStyle w:val="Compact"/>
            </w:pPr>
            <w:r>
              <w:t xml:space="preserve">O que está feito serve?</w:t>
            </w:r>
          </w:p>
        </w:tc>
      </w:tr>
      <w:tr>
        <w:tc>
          <w:tcPr/>
          <w:p>
            <w:pPr>
              <w:pStyle w:val="Compact"/>
            </w:pPr>
            <w:hyperlink w:anchor="X1b3635b6efa01cc7a2e364f9e915cc6ca31ee4b">
              <w:r>
                <w:rPr>
                  <w:rStyle w:val="Hyperlink"/>
                </w:rPr>
                <w:t xml:space="preserve">Retrospetiva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ciclo</w:t>
            </w:r>
          </w:p>
        </w:tc>
        <w:tc>
          <w:tcPr/>
          <w:p>
            <w:pPr>
              <w:pStyle w:val="Compact"/>
            </w:pPr>
            <w:r>
              <w:t xml:space="preserve">{{60 min}}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O que mudamos na forma de trabalhar?</w:t>
            </w:r>
          </w:p>
        </w:tc>
      </w:tr>
      <w:tr>
        <w:tc>
          <w:tcPr/>
          <w:p>
            <w:pPr>
              <w:pStyle w:val="Compact"/>
            </w:pPr>
            <w:hyperlink w:anchor="X2dcfc0ad3313940b246e9329979cce2dfc5cbc8">
              <w:r>
                <w:rPr>
                  <w:rStyle w:val="Hyperlink"/>
                </w:rPr>
                <w:t xml:space="preserve">Ponto com o cliente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Gestor + cliente</w:t>
            </w:r>
          </w:p>
        </w:tc>
        <w:tc>
          <w:tcPr/>
          <w:p>
            <w:pPr>
              <w:pStyle w:val="Compact"/>
            </w:pPr>
            <w:r>
              <w:t xml:space="preserve">Estamos alinhados em âmbito, prazo e decisões pendentes?</w:t>
            </w:r>
          </w:p>
        </w:tc>
      </w:tr>
      <w:tr>
        <w:tc>
          <w:tcPr/>
          <w:p>
            <w:pPr>
              <w:pStyle w:val="Compact"/>
            </w:pPr>
            <w:hyperlink w:anchor="Xd1c17b7733eda5b5cf5040183b58aac3d6904c7">
              <w:r>
                <w:rPr>
                  <w:rStyle w:val="Hyperlink"/>
                </w:rPr>
                <w:t xml:space="preserve">Comité de acompanhamento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{{60 min}}</w:t>
            </w:r>
          </w:p>
        </w:tc>
        <w:tc>
          <w:tcPr/>
          <w:p>
            <w:pPr>
              <w:pStyle w:val="Compact"/>
            </w:pPr>
            <w:r>
              <w:t xml:space="preserve">Patrocinador + gestores</w:t>
            </w:r>
          </w:p>
        </w:tc>
        <w:tc>
          <w:tcPr/>
          <w:p>
            <w:pPr>
              <w:pStyle w:val="Compact"/>
            </w:pPr>
            <w:r>
              <w:t xml:space="preserve">O projeto continua a fazer sentido como está?</w:t>
            </w:r>
          </w:p>
        </w:tc>
      </w:tr>
      <w:tr>
        <w:tc>
          <w:tcPr/>
          <w:p>
            <w:pPr>
              <w:pStyle w:val="Compact"/>
            </w:pPr>
            <w:hyperlink w:anchor="Xeb9929addbb1ce5e12862652db88a4503dbfe79">
              <w:r>
                <w:rPr>
                  <w:rStyle w:val="Hyperlink"/>
                </w:rPr>
                <w:t xml:space="preserve">Revisão técnica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{{Quinzenal}}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  <w:tc>
          <w:tcPr/>
          <w:p>
            <w:pPr>
              <w:pStyle w:val="Compact"/>
            </w:pPr>
            <w:r>
              <w:t xml:space="preserve">As decisões estruturais aguentam o que vem?</w:t>
            </w:r>
          </w:p>
        </w:tc>
      </w:tr>
    </w:tbl>
    <w:p>
      <w:pPr>
        <w:pStyle w:val="BodyText"/>
      </w:pPr>
      <w:r>
        <w:drawing>
          <wp:inline>
            <wp:extent cx="6191999" cy="173522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73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 de higiene:</w:t>
      </w:r>
      <w:r>
        <w:t xml:space="preserve"> </w:t>
      </w:r>
      <w:r>
        <w:t xml:space="preserve">o total de reuniões recorrentes não deve passar de</w:t>
      </w:r>
      <w:r>
        <w:t xml:space="preserve"> </w:t>
      </w:r>
      <w:r>
        <w:t xml:space="preserve">{{10 %}} do tempo da equipa. Acima disso, o trabalho passa a ser falar sobre o trabalho.</w:t>
      </w:r>
    </w:p>
    <w:p>
      <w:r>
        <w:pict>
          <v:rect style="width:0;height:1.5pt" o:hralign="center" o:hrstd="t" o:hr="t"/>
        </w:pict>
      </w:r>
    </w:p>
    <w:bookmarkEnd w:id="52"/>
    <w:bookmarkStart w:id="53" w:name="ficha-comum-a-todas"/>
    <w:p>
      <w:pPr>
        <w:pStyle w:val="Heading2"/>
      </w:pPr>
      <w:r>
        <w:t xml:space="preserve">2. Ficha comum a todas</w:t>
      </w:r>
    </w:p>
    <w:p>
      <w:pPr>
        <w:pStyle w:val="FirstParagraph"/>
      </w:pPr>
      <w:r>
        <w:t xml:space="preserve">Cada reunião abaixo tem: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(o que já tem de existir),</w:t>
      </w:r>
      <w:r>
        <w:t xml:space="preserve"> </w:t>
      </w:r>
      <w:r>
        <w:rPr>
          <w:b/>
          <w:bCs/>
        </w:rPr>
        <w:t xml:space="preserve">saída</w:t>
      </w:r>
      <w:r>
        <w:t xml:space="preserve"> </w:t>
      </w:r>
      <w:r>
        <w:t xml:space="preserve">(o que</w:t>
      </w:r>
      <w:r>
        <w:t xml:space="preserve"> </w:t>
      </w:r>
      <w:r>
        <w:t xml:space="preserve">produz) e</w:t>
      </w:r>
      <w:r>
        <w:t xml:space="preserve"> </w:t>
      </w:r>
      <w:r>
        <w:rPr>
          <w:b/>
          <w:bCs/>
        </w:rPr>
        <w:t xml:space="preserve">quem falha se falhar</w:t>
      </w:r>
      <w:r>
        <w:t xml:space="preserve">. Uma reunião sem saída escrita é um hábito, não um processo.</w:t>
      </w:r>
    </w:p>
    <w:p>
      <w:r>
        <w:pict>
          <v:rect style="width:0;height:1.5pt" o:hralign="center" o:hrstd="t" o:hr="t"/>
        </w:pict>
      </w:r>
    </w:p>
    <w:bookmarkEnd w:id="53"/>
    <w:bookmarkStart w:id="54" w:name="ponto-diário"/>
    <w:p>
      <w:pPr>
        <w:pStyle w:val="Heading2"/>
      </w:pPr>
      <w:r>
        <w:t xml:space="preserve">3. Ponto diário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{{15 min}}, de pé ou com câmara, sempre à mesma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Quem está a fazer o trabalho. Chefias assistem, não interrogam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Quadro atualizado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da reunião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Bloqueios com dono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 — por trabalho, não por pessoa.</w:t>
      </w:r>
      <w:r>
        <w:t xml:space="preserve"> </w:t>
      </w:r>
      <w:r>
        <w:t xml:space="preserve">Percorre-se o quadro da direita para a</w:t>
      </w:r>
      <w:r>
        <w:t xml:space="preserve"> </w:t>
      </w:r>
      <w:r>
        <w:t xml:space="preserve">esquerda (do mais perto de</w:t>
      </w:r>
      <w:r>
        <w:t xml:space="preserve"> </w:t>
      </w:r>
      <w:r>
        <w:t xml:space="preserve">“pronto”</w:t>
      </w:r>
      <w:r>
        <w:t xml:space="preserve"> </w:t>
      </w:r>
      <w:r>
        <w:t xml:space="preserve">para o mais longe), e pergunta-se por item:</w:t>
      </w:r>
    </w:p>
    <w:p>
      <w:pPr>
        <w:pStyle w:val="Compact"/>
        <w:numPr>
          <w:ilvl w:val="0"/>
          <w:numId w:val="1001"/>
        </w:numPr>
      </w:pPr>
      <w:r>
        <w:t xml:space="preserve">O que falta para isto ficar pronto?</w:t>
      </w:r>
    </w:p>
    <w:p>
      <w:pPr>
        <w:pStyle w:val="Compact"/>
        <w:numPr>
          <w:ilvl w:val="0"/>
          <w:numId w:val="1001"/>
        </w:numPr>
      </w:pPr>
      <w:r>
        <w:t xml:space="preserve">O que está a impedir?</w:t>
      </w:r>
    </w:p>
    <w:p>
      <w:pPr>
        <w:pStyle w:val="Compact"/>
        <w:numPr>
          <w:ilvl w:val="0"/>
          <w:numId w:val="1001"/>
        </w:numPr>
      </w:pPr>
      <w:r>
        <w:t xml:space="preserve">Quem ajuda, e até quando?</w:t>
      </w:r>
    </w:p>
    <w:p>
      <w:pPr>
        <w:pStyle w:val="BlockText"/>
      </w:pPr>
      <w:r>
        <w:t xml:space="preserve">Percorrer por pessoa produz três relatórios individuais e nenhuma coordenação —</w:t>
      </w:r>
      <w:r>
        <w:t xml:space="preserve"> </w:t>
      </w:r>
      <w:r>
        <w:t xml:space="preserve">e transforma o ponto diário numa prestação de contas, que é a forma mais rápida</w:t>
      </w:r>
      <w:r>
        <w:t xml:space="preserve"> </w:t>
      </w:r>
      <w:r>
        <w:t xml:space="preserve">de o esvaziar de informação verdadeira.</w:t>
      </w:r>
    </w:p>
    <w:p>
      <w:pPr>
        <w:pStyle w:val="FirstParagraph"/>
      </w:pPr>
      <w:r>
        <w:rPr>
          <w:b/>
          <w:bCs/>
        </w:rPr>
        <w:t xml:space="preserve">Não é aqui que se:</w:t>
      </w:r>
      <w:r>
        <w:t xml:space="preserve"> </w:t>
      </w:r>
      <w:r>
        <w:t xml:space="preserve">resolvem problemas técnicos (marca-se a seguir, com quem</w:t>
      </w:r>
      <w:r>
        <w:t xml:space="preserve"> </w:t>
      </w:r>
      <w:r>
        <w:t xml:space="preserve">interessa) · dão estimativas · discute prioridade.</w:t>
      </w:r>
    </w:p>
    <w:p>
      <w:r>
        <w:pict>
          <v:rect style="width:0;height:1.5pt" o:hralign="center" o:hrstd="t" o:hr="t"/>
        </w:pict>
      </w:r>
    </w:p>
    <w:bookmarkEnd w:id="54"/>
    <w:bookmarkStart w:id="56" w:name="refinamento"/>
    <w:p>
      <w:pPr>
        <w:pStyle w:val="Heading2"/>
      </w:pPr>
      <w:r>
        <w:t xml:space="preserve">4. Refinamento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 min}} 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Itens candidatos escritos pelo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Itens que cumprem a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Definition of Ready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 que se faz:</w:t>
      </w:r>
      <w:r>
        <w:t xml:space="preserve"> </w:t>
      </w:r>
      <w:r>
        <w:t xml:space="preserve">clarificar critérios de aceitação, partir o que é grande demais,</w:t>
      </w:r>
      <w:r>
        <w:t xml:space="preserve"> </w:t>
      </w:r>
      <w:r>
        <w:t xml:space="preserve">identificar dependências e desconhecidos, estimar grosso modo.</w:t>
      </w:r>
    </w:p>
    <w:p>
      <w:pPr>
        <w:pStyle w:val="BodyText"/>
      </w:pPr>
      <w:r>
        <w:rPr>
          <w:b/>
          <w:bCs/>
        </w:rPr>
        <w:t xml:space="preserve">Critério de saída por item:</w:t>
      </w:r>
      <w:r>
        <w:t xml:space="preserve"> </w:t>
      </w:r>
      <w:r>
        <w:t xml:space="preserve">a equipa consegue explicar como o testaria. Se não</w:t>
      </w:r>
      <w:r>
        <w:t xml:space="preserve"> </w:t>
      </w:r>
      <w:r>
        <w:t xml:space="preserve">consegue, falta informação — e isso é uma ação para o PO, não uma estimativa maior.</w:t>
      </w:r>
    </w:p>
    <w:p>
      <w:r>
        <w:pict>
          <v:rect style="width:0;height:1.5pt" o:hralign="center" o:hrstd="t" o:hr="t"/>
        </w:pict>
      </w:r>
    </w:p>
    <w:bookmarkEnd w:id="56"/>
    <w:bookmarkStart w:id="58" w:name="planeamento"/>
    <w:p>
      <w:pPr>
        <w:pStyle w:val="Heading2"/>
      </w:pPr>
      <w:r>
        <w:t xml:space="preserve">5. Planeamento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{{60–90 min}} por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Itens refinados + capacidade real do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Compromisso do ciclo + objetivo do ciclo numa frase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Capacidade real</w:t>
      </w:r>
      <w:r>
        <w:t xml:space="preserve">, não teórica: descontar férias, feriados, suporte, reuniões e</w:t>
      </w:r>
      <w:r>
        <w:t xml:space="preserve"> </w:t>
      </w:r>
      <w:r>
        <w:t xml:space="preserve">o trabalho não planeado que acontece sempre. Ver</w:t>
      </w:r>
      <w:r>
        <w:t xml:space="preserve"> </w:t>
      </w:r>
      <w:hyperlink r:id="rId57">
        <w:r>
          <w:rPr>
            <w:rStyle w:val="Hyperlink"/>
          </w:rPr>
          <w:t xml:space="preserve">Estimativas e Esforço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do ciclo</w:t>
            </w:r>
          </w:p>
        </w:tc>
        <w:tc>
          <w:tcPr/>
          <w:p>
            <w:pPr>
              <w:pStyle w:val="Compact"/>
            </w:pPr>
            <w:r>
              <w:t xml:space="preserve">{{Uma frase — o que o utilizador passa a poder fazer}}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{{n}} pessoa-dias, {{n}}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para imprevistos</w:t>
            </w:r>
          </w:p>
        </w:tc>
        <w:tc>
          <w:tcPr/>
          <w:p>
            <w:pPr>
              <w:pStyle w:val="Compact"/>
            </w:pPr>
            <w:r>
              <w:t xml:space="preserve">{{20 %}}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Compromisso</w:t>
            </w:r>
          </w:p>
        </w:tc>
        <w:tc>
          <w:tcPr/>
          <w:p>
            <w:pPr>
              <w:pStyle w:val="Compact"/>
            </w:pPr>
            <w:r>
              <w:t xml:space="preserve">{{lista de itens}}</w:t>
            </w:r>
          </w:p>
        </w:tc>
      </w:tr>
    </w:tbl>
    <w:p>
      <w:pPr>
        <w:pStyle w:val="BlockText"/>
      </w:pPr>
      <w:r>
        <w:t xml:space="preserve">Um ciclo sem objetivo numa frase é uma lista de tarefas. Quando é preciso cortar</w:t>
      </w:r>
      <w:r>
        <w:t xml:space="preserve"> </w:t>
      </w:r>
      <w:r>
        <w:t xml:space="preserve">a meio, é o objetivo que diz o que se corta.</w:t>
      </w:r>
    </w:p>
    <w:p>
      <w:r>
        <w:pict>
          <v:rect style="width:0;height:1.5pt" o:hralign="center" o:hrstd="t" o:hr="t"/>
        </w:pict>
      </w:r>
    </w:p>
    <w:bookmarkEnd w:id="58"/>
    <w:bookmarkStart w:id="60" w:name="revisão-demo"/>
    <w:p>
      <w:pPr>
        <w:pStyle w:val="Heading2"/>
      </w:pPr>
      <w:r>
        <w:t xml:space="preserve">6. Revisão /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{{45 min}} por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Equipa + PO + {{utilizadores-chave}}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Incremento a funcionar em {{staging}}, com dados realistas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Aceite / não aceite por item + feedback registado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</w:t>
      </w:r>
      <w:r>
        <w:t xml:space="preserve"> </w:t>
      </w:r>
      <w:r>
        <w:t xml:space="preserve">- Demonstra-se</w:t>
      </w:r>
      <w:r>
        <w:t xml:space="preserve"> </w:t>
      </w:r>
      <w:r>
        <w:rPr>
          <w:b/>
          <w:bCs/>
        </w:rPr>
        <w:t xml:space="preserve">software a correr</w:t>
      </w:r>
      <w:r>
        <w:t xml:space="preserve">, não slides nem capturas de ecrã.</w:t>
      </w:r>
      <w:r>
        <w:t xml:space="preserve"> </w:t>
      </w:r>
      <w:r>
        <w:t xml:space="preserve">- Demonstra-se pelo fluxo do utilizador, não pelas funcionalidades técnicas.</w:t>
      </w:r>
      <w:r>
        <w:t xml:space="preserve"> </w:t>
      </w:r>
      <w:r>
        <w:t xml:space="preserve">- Não se demonstra o que não cumpre a</w:t>
      </w:r>
      <w:r>
        <w:t xml:space="preserve"> </w:t>
      </w:r>
      <w:hyperlink r:id="rId55">
        <w:r>
          <w:rPr>
            <w:rStyle w:val="Hyperlink"/>
          </w:rPr>
          <w:t xml:space="preserve">Definition of Done</w:t>
        </w:r>
      </w:hyperlink>
      <w:r>
        <w:t xml:space="preserve">.</w:t>
      </w:r>
      <w:r>
        <w:t xml:space="preserve"> </w:t>
      </w:r>
      <w:r>
        <w:t xml:space="preserve">- O feedback vira itens no backlog, com decisão do PO —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vira alterações imediatas.</w:t>
      </w:r>
      <w:r>
        <w:t xml:space="preserve"> </w:t>
      </w:r>
      <w:r>
        <w:t xml:space="preserve">- Feedback com impacto em âmbito segue por</w:t>
      </w:r>
      <w:r>
        <w:t xml:space="preserve"> </w:t>
      </w:r>
      <w:hyperlink r:id="rId59">
        <w:r>
          <w:rPr>
            <w:rStyle w:val="Hyperlink"/>
          </w:rPr>
          <w:t xml:space="preserve">Gestão de Alterações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2" w:name="retrospetiva"/>
    <w:p>
      <w:pPr>
        <w:pStyle w:val="Heading2"/>
      </w:pPr>
      <w:r>
        <w:t xml:space="preserve">7. Retrospetiva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 min}} por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Só a equipa. Sem chefias, salvo convite da própria equipa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Ações da retrospetiva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máximo 3 ações</w:t>
            </w:r>
            <w:r>
              <w:t xml:space="preserve">, com dono e prazo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Guião ({{60 min}})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{{5’}}</w:t>
            </w:r>
          </w:p>
        </w:tc>
        <w:tc>
          <w:tcPr/>
          <w:p>
            <w:pPr>
              <w:pStyle w:val="Compact"/>
            </w:pPr>
            <w:r>
              <w:t xml:space="preserve">Verificar as ações da retrospetiva anterior — fizeram-se? mudou alguma coisa?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Reunir factos: o que aconteceu neste ciclo (dados, não impressões)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{{20’}}</w:t>
            </w:r>
          </w:p>
        </w:tc>
        <w:tc>
          <w:tcPr/>
          <w:p>
            <w:pPr>
              <w:pStyle w:val="Compact"/>
            </w:pPr>
            <w:r>
              <w:t xml:space="preserve">O que correu bem que queremos repetir; o que nos custou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{{15’}}</w:t>
            </w:r>
          </w:p>
        </w:tc>
        <w:tc>
          <w:tcPr/>
          <w:p>
            <w:pPr>
              <w:pStyle w:val="Compact"/>
            </w:pPr>
            <w:r>
              <w:t xml:space="preserve">Escolher</w:t>
            </w:r>
            <w:r>
              <w:t xml:space="preserve"> </w:t>
            </w:r>
            <w:r>
              <w:rPr>
                <w:b/>
                <w:bCs/>
              </w:rPr>
              <w:t xml:space="preserve">até 3</w:t>
            </w:r>
            <w:r>
              <w:t xml:space="preserve"> </w:t>
            </w:r>
            <w:r>
              <w:t xml:space="preserve">coisas a mudar — as que dependem de nós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Ações com dono e prazo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rPr>
          <w:i/>
          <w:iCs/>
        </w:rPr>
        <w:t xml:space="preserve">toda a gente fez o melhor que sabia com a informação que</w:t>
      </w:r>
      <w:r>
        <w:rPr>
          <w:i/>
          <w:iCs/>
        </w:rPr>
        <w:t xml:space="preserve"> </w:t>
      </w:r>
      <w:r>
        <w:rPr>
          <w:i/>
          <w:iCs/>
        </w:rPr>
        <w:t xml:space="preserve">tinha</w:t>
      </w:r>
      <w:r>
        <w:t xml:space="preserve">. A retrospetiva procura causas no sistema de trabalho, não culpados.</w:t>
      </w:r>
    </w:p>
    <w:p>
      <w:pPr>
        <w:pStyle w:val="BodyText"/>
      </w:pPr>
      <w:r>
        <w:rPr>
          <w:b/>
          <w:bCs/>
        </w:rPr>
        <w:t xml:space="preserve">A retrospetiva morre quando</w:t>
      </w:r>
      <w:r>
        <w:t xml:space="preserve"> </w:t>
      </w:r>
      <w:r>
        <w:t xml:space="preserve">as ações não se cumprem. Por isso o primeiro</w:t>
      </w:r>
      <w:r>
        <w:t xml:space="preserve"> </w:t>
      </w:r>
      <w:r>
        <w:t xml:space="preserve">bloco é sempre a verificação do anterior — e por isso são no máximo três.</w:t>
      </w:r>
    </w:p>
    <w:p>
      <w:pPr>
        <w:pStyle w:val="BodyText"/>
      </w:pPr>
      <w:r>
        <w:t xml:space="preserve">Para incidentes de produção usa-se o formato próprio, sem culpados:</w:t>
      </w:r>
      <w:r>
        <w:t xml:space="preserve"> </w:t>
      </w:r>
      <w:hyperlink r:id="rId61">
        <w:r>
          <w:rPr>
            <w:rStyle w:val="Hyperlink"/>
          </w:rPr>
          <w:t xml:space="preserve">Incidentes e Post-Mortem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4" w:name="ponto-com-o-cliente"/>
    <w:p>
      <w:pPr>
        <w:pStyle w:val="Heading2"/>
      </w:pPr>
      <w:r>
        <w:t xml:space="preserve">8. Ponto com o 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{{30 min}} 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Gestor + interlocutor do cliente ({{quem decide}})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Relatório de Estado</w:t>
              </w:r>
            </w:hyperlink>
            <w:r>
              <w:t xml:space="preserve"> </w:t>
            </w:r>
            <w:r>
              <w:t xml:space="preserve">enviado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Decisões pendentes resolvidas + ações do cliente confirmadas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Agenda fixa ({{30 min}})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{{5’}}</w:t>
            </w:r>
          </w:p>
        </w:tc>
        <w:tc>
          <w:tcPr/>
          <w:p>
            <w:pPr>
              <w:pStyle w:val="Compact"/>
            </w:pPr>
            <w:r>
              <w:t xml:space="preserve">Semáforo: âmbito, prazo, orçamento, riscos — com 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Decisões pendentes do lado do cliente (as que nos bloqueiam)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O que precisamos do cliente até à próxima, com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{{5’}}</w:t>
            </w:r>
          </w:p>
        </w:tc>
        <w:tc>
          <w:tcPr/>
          <w:p>
            <w:pPr>
              <w:pStyle w:val="Compact"/>
            </w:pPr>
            <w:r>
              <w:t xml:space="preserve">Alterações pedidas → registadas como pedido, não como ação</w:t>
            </w:r>
          </w:p>
        </w:tc>
      </w:tr>
    </w:tbl>
    <w:p>
      <w:pPr>
        <w:pStyle w:val="BlockText"/>
      </w:pPr>
      <w:r>
        <w:t xml:space="preserve">O relatório vai</w:t>
      </w:r>
      <w:r>
        <w:t xml:space="preserve"> </w:t>
      </w:r>
      <w:r>
        <w:rPr>
          <w:b/>
          <w:bCs/>
        </w:rPr>
        <w:t xml:space="preserve">antes</w:t>
      </w:r>
      <w:r>
        <w:t xml:space="preserve">. A reunião é para decidir o que o relatório mostrou</w:t>
      </w:r>
      <w:r>
        <w:t xml:space="preserve"> </w:t>
      </w:r>
      <w:r>
        <w:t xml:space="preserve">que está por decidir — ler o relatório em voz alta gasta o tempo em que se</w:t>
      </w:r>
      <w:r>
        <w:t xml:space="preserve"> </w:t>
      </w:r>
      <w:r>
        <w:t xml:space="preserve">podia estar a desbloquear.</w:t>
      </w:r>
    </w:p>
    <w:p>
      <w:r>
        <w:pict>
          <v:rect style="width:0;height:1.5pt" o:hralign="center" o:hrstd="t" o:hr="t"/>
        </w:pict>
      </w:r>
    </w:p>
    <w:bookmarkEnd w:id="64"/>
    <w:bookmarkStart w:id="65" w:name="comité-de-acompanhamento-steering"/>
    <w:p>
      <w:pPr>
        <w:pStyle w:val="Heading2"/>
      </w:pPr>
      <w:r>
        <w:t xml:space="preserve">9. Comité de acompanhamento (steering)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 min}} {{mensal}}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Patrocinador, gestor, {{responsáveis das áreas afetadas}}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Estado consolidado, desvios, decisões que excedem a alçada do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Decisões de âmbito, orçamento e prioridade — em 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Só sobem a este comité:</w:t>
      </w:r>
      <w:r>
        <w:t xml:space="preserve"> </w:t>
      </w:r>
      <w:r>
        <w:t xml:space="preserve">decisões acima dos limiares definidos em</w:t>
      </w:r>
      <w:r>
        <w:t xml:space="preserve"> </w:t>
      </w:r>
      <w:hyperlink r:id="rId59">
        <w:r>
          <w:rPr>
            <w:rStyle w:val="Hyperlink"/>
          </w:rPr>
          <w:t xml:space="preserve">Gestão de Alterações</w:t>
        </w:r>
      </w:hyperlink>
      <w:r>
        <w:t xml:space="preserve"> </w:t>
      </w:r>
      <w:r>
        <w:t xml:space="preserve">· riscos de nível {{Alto}} sem</w:t>
      </w:r>
      <w:r>
        <w:t xml:space="preserve"> </w:t>
      </w:r>
      <w:r>
        <w:t xml:space="preserve">mitigação possível ao nível da equipa · conflitos de prioridade entre áreas ·</w:t>
      </w:r>
      <w:r>
        <w:t xml:space="preserve"> </w:t>
      </w:r>
      <w:r>
        <w:t xml:space="preserve">decisão de continuar, mudar de rumo ou parar.</w:t>
      </w:r>
    </w:p>
    <w:p>
      <w:pPr>
        <w:pStyle w:val="BodyText"/>
      </w:pPr>
      <w:r>
        <w:rPr>
          <w:b/>
          <w:bCs/>
        </w:rPr>
        <w:t xml:space="preserve">Não sobe:</w:t>
      </w:r>
      <w:r>
        <w:t xml:space="preserve"> </w:t>
      </w:r>
      <w:r>
        <w:t xml:space="preserve">estado detalhado (está no relatório), problemas técnicos, gestão de tarefas.</w:t>
      </w:r>
    </w:p>
    <w:p>
      <w:r>
        <w:pict>
          <v:rect style="width:0;height:1.5pt" o:hralign="center" o:hrstd="t" o:hr="t"/>
        </w:pict>
      </w:r>
    </w:p>
    <w:bookmarkEnd w:id="65"/>
    <w:bookmarkStart w:id="67" w:name="revisão-técnica"/>
    <w:p>
      <w:pPr>
        <w:pStyle w:val="Heading2"/>
      </w:pPr>
      <w:r>
        <w:t xml:space="preserve">10. Revisão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{{45 min}} {{quinzenal}}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Equipa técnica + arquiteto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ADR em rascunho, dívida acumulada, alertas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ADR decididos ou agendados; dívida priorizada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Pontos fixos:</w:t>
      </w:r>
      <w:r>
        <w:t xml:space="preserve"> </w:t>
      </w:r>
      <w:r>
        <w:t xml:space="preserve">decisões estruturais pendentes (</w:t>
      </w:r>
      <w:hyperlink r:id="rId66">
        <w:r>
          <w:rPr>
            <w:rStyle w:val="Hyperlink"/>
          </w:rPr>
          <w:t xml:space="preserve">ADR</w:t>
        </w:r>
      </w:hyperlink>
      <w:r>
        <w:t xml:space="preserve">) ·</w:t>
      </w:r>
      <w:r>
        <w:t xml:space="preserve"> </w:t>
      </w:r>
      <w:r>
        <w:t xml:space="preserve">dívida técnica que já custou tempo neste ciclo · o que a produção nos ensinou</w:t>
      </w:r>
      <w:r>
        <w:t xml:space="preserve"> </w:t>
      </w:r>
      <w:r>
        <w:t xml:space="preserve">(alertas, incidentes, desempenho) · dependências e versões por atualizar.</w:t>
      </w:r>
    </w:p>
    <w:p>
      <w:r>
        <w:pict>
          <v:rect style="width:0;height:1.5pt" o:hralign="center" o:hrstd="t" o:hr="t"/>
        </w:pict>
      </w:r>
    </w:p>
    <w:bookmarkEnd w:id="67"/>
    <w:bookmarkStart w:id="68" w:name="higiene-da-cadência"/>
    <w:p>
      <w:pPr>
        <w:pStyle w:val="Heading2"/>
      </w:pPr>
      <w:r>
        <w:t xml:space="preserve">11. Higiene da cadência</w:t>
      </w:r>
    </w:p>
    <w:p>
      <w:pPr>
        <w:pStyle w:val="FirstParagraph"/>
      </w:pPr>
      <w:r>
        <w:rPr>
          <w:b/>
          <w:bCs/>
        </w:rPr>
        <w:t xml:space="preserve">Revisão {{trimestral}} de todas as recorrentes: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Reunião</w:t>
            </w:r>
          </w:p>
        </w:tc>
        <w:tc>
          <w:tcPr/>
          <w:p>
            <w:pPr>
              <w:pStyle w:val="Compact"/>
            </w:pPr>
            <w:r>
              <w:t xml:space="preserve">Continua a valer?</w:t>
            </w:r>
          </w:p>
        </w:tc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  <w:tc>
          <w:tcPr/>
          <w:p>
            <w:pPr>
              <w:pStyle w:val="Compact"/>
            </w:pPr>
            <w:r>
              <w:t xml:space="preserve">{{Ninguém prepara / metade cala-se / a ata repete-se}}</w:t>
            </w:r>
          </w:p>
        </w:tc>
        <w:tc>
          <w:tcPr/>
          <w:p>
            <w:pPr>
              <w:pStyle w:val="Compact"/>
            </w:pPr>
            <w:r>
              <w:t xml:space="preserve">{{Manter / encurtar / fundir / terminar}}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Cancela-se uma ocorrência quando:</w:t>
      </w:r>
      <w:r>
        <w:t xml:space="preserve"> </w:t>
      </w:r>
      <w:r>
        <w:t xml:space="preserve">não há nada a decidir · quem decide não pode ·</w:t>
      </w:r>
      <w:r>
        <w:t xml:space="preserve"> </w:t>
      </w:r>
      <w:r>
        <w:t xml:space="preserve">a pré-leitura não está pronta. Cancelar com antecedência é um sinal de saúde, não de desleixo.</w:t>
      </w:r>
    </w:p>
    <w:p>
      <w:pPr>
        <w:pStyle w:val="BodyText"/>
      </w:pPr>
      <w:r>
        <w:rPr>
          <w:b/>
          <w:bCs/>
        </w:rPr>
        <w:t xml:space="preserve">Fundem-se duas reuniões quando</w:t>
      </w:r>
      <w:r>
        <w:t xml:space="preserve"> </w:t>
      </w:r>
      <w:r>
        <w:t xml:space="preserve">ambas respondem à mesma pergunta para o mesmo público.</w:t>
      </w:r>
    </w:p>
    <w:p>
      <w:r>
        <w:pict>
          <v:rect style="width:0;height:1.5pt" o:hralign="center" o:hrstd="t" o:hr="t"/>
        </w:pict>
      </w:r>
    </w:p>
    <w:bookmarkEnd w:id="68"/>
    <w:bookmarkStart w:id="69" w:name="o-que-não-precisa-de-reunião"/>
    <w:p>
      <w:pPr>
        <w:pStyle w:val="Heading2"/>
      </w:pPr>
      <w:r>
        <w:t xml:space="preserve">12. O que não precisa de reunião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 vez de</w:t>
            </w:r>
          </w:p>
        </w:tc>
        <w:tc>
          <w:tcPr/>
          <w:p>
            <w:pPr>
              <w:pStyle w:val="Compact"/>
            </w:pPr>
            <w:r>
              <w:t xml:space="preserve">Faz-se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de estado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Relatório de Estado</w:t>
              </w:r>
            </w:hyperlink>
            <w:r>
              <w:t xml:space="preserve"> </w:t>
            </w:r>
            <w:r>
              <w:t xml:space="preserve">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para informar</w:t>
            </w:r>
          </w:p>
        </w:tc>
        <w:tc>
          <w:tcPr/>
          <w:p>
            <w:pPr>
              <w:pStyle w:val="Compact"/>
            </w:pPr>
            <w:r>
              <w:t xml:space="preserve">Mensagem no canal, com data de resposta se for preciso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para rever documento</w:t>
            </w:r>
          </w:p>
        </w:tc>
        <w:tc>
          <w:tcPr/>
          <w:p>
            <w:pPr>
              <w:pStyle w:val="Compact"/>
            </w:pPr>
            <w:r>
              <w:t xml:space="preserve">Comentários no documento, reunião só para o que ficou por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para decidir sozinho</w:t>
            </w:r>
          </w:p>
        </w:tc>
        <w:tc>
          <w:tcPr/>
          <w:p>
            <w:pPr>
              <w:pStyle w:val="Compact"/>
            </w:pPr>
            <w:r>
              <w:t xml:space="preserve">Decide-se e regista-se a decisão com o 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</w:t>
            </w:r>
            <w:r>
              <w:t xml:space="preserve"> </w:t>
            </w:r>
            <w:r>
              <w:t xml:space="preserve">“para todos saberem”</w:t>
            </w:r>
          </w:p>
        </w:tc>
        <w:tc>
          <w:tcPr/>
          <w:p>
            <w:pPr>
              <w:pStyle w:val="Compact"/>
            </w:pPr>
            <w:r>
              <w:t xml:space="preserve">Ata bem escrita e distribuída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4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Convocatória e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Regras comuns a qualquer reunião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Reunião de Arranque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esta cadência é definida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registo de cada ocorrência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Registo de 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fica por fazer, entre reuniões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Entrada do ponto com o cliente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Definition of Done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Critério da revisão / demo</w:t>
            </w:r>
          </w:p>
        </w:tc>
      </w:tr>
    </w:tbl>
    <w:bookmarkEnd w:id="7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hyperlink" Id="rId66" Target="../03-arquitetura/02-adr-template.md" TargetMode="External" /><Relationship Type="http://schemas.openxmlformats.org/officeDocument/2006/relationships/hyperlink" Id="rId55" Target="../05-qualidade/04-definition-of-done.md" TargetMode="External" /><Relationship Type="http://schemas.openxmlformats.org/officeDocument/2006/relationships/hyperlink" Id="rId61" Target="../06-operacao/03-incidentes-postmortem.md" TargetMode="External" /><Relationship Type="http://schemas.openxmlformats.org/officeDocument/2006/relationships/hyperlink" Id="rId57" Target="02-estimativas-e-esforco.md" TargetMode="External" /><Relationship Type="http://schemas.openxmlformats.org/officeDocument/2006/relationships/hyperlink" Id="rId59" Target="04-gestao-alteracoes.md" TargetMode="External" /><Relationship Type="http://schemas.openxmlformats.org/officeDocument/2006/relationships/hyperlink" Id="rId72" Target="05-ata-reuniao.md" TargetMode="External" /><Relationship Type="http://schemas.openxmlformats.org/officeDocument/2006/relationships/hyperlink" Id="rId63" Target="06-relatorio-estado.md" TargetMode="External" /><Relationship Type="http://schemas.openxmlformats.org/officeDocument/2006/relationships/hyperlink" Id="rId70" Target="07-convocatoria-e-agenda.md" TargetMode="External" /><Relationship Type="http://schemas.openxmlformats.org/officeDocument/2006/relationships/hyperlink" Id="rId71" Target="08-guiao-reuniao-arranque.md" TargetMode="External" /><Relationship Type="http://schemas.openxmlformats.org/officeDocument/2006/relationships/hyperlink" Id="rId73" Target="10-registo-de-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03-arquitetura/02-adr-template.md" TargetMode="External" /><Relationship Type="http://schemas.openxmlformats.org/officeDocument/2006/relationships/hyperlink" Id="rId55" Target="../05-qualidade/04-definition-of-done.md" TargetMode="External" /><Relationship Type="http://schemas.openxmlformats.org/officeDocument/2006/relationships/hyperlink" Id="rId61" Target="../06-operacao/03-incidentes-postmortem.md" TargetMode="External" /><Relationship Type="http://schemas.openxmlformats.org/officeDocument/2006/relationships/hyperlink" Id="rId57" Target="02-estimativas-e-esforco.md" TargetMode="External" /><Relationship Type="http://schemas.openxmlformats.org/officeDocument/2006/relationships/hyperlink" Id="rId59" Target="04-gestao-alteracoes.md" TargetMode="External" /><Relationship Type="http://schemas.openxmlformats.org/officeDocument/2006/relationships/hyperlink" Id="rId72" Target="05-ata-reuniao.md" TargetMode="External" /><Relationship Type="http://schemas.openxmlformats.org/officeDocument/2006/relationships/hyperlink" Id="rId63" Target="06-relatorio-estado.md" TargetMode="External" /><Relationship Type="http://schemas.openxmlformats.org/officeDocument/2006/relationships/hyperlink" Id="rId70" Target="07-convocatoria-e-agenda.md" TargetMode="External" /><Relationship Type="http://schemas.openxmlformats.org/officeDocument/2006/relationships/hyperlink" Id="rId71" Target="08-guiao-reuniao-arranque.md" TargetMode="External" /><Relationship Type="http://schemas.openxmlformats.org/officeDocument/2006/relationships/hyperlink" Id="rId73" Target="10-registo-de-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Reuniões de Cadência — guião por tipo</dc:title>
  <dc:creator/>
  <dc:language>pt-PT</dc:language>
  <cp:keywords/>
  <dcterms:created xsi:type="dcterms:W3CDTF">2026-08-24T14:35:17Z</dcterms:created>
  <dcterms:modified xsi:type="dcterms:W3CDTF">2026-08-24T14:35:17Z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