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Responsabilidades e Comunicação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Data: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Dono:</w:t>
      </w:r>
      <w:r>
        <w:t xml:space="preserve"> </w:t>
      </w:r>
      <w:r>
        <w:t xml:space="preserve">{{nome}}</w:t>
      </w:r>
    </w:p>
    <w:p>
      <w:r>
        <w:pict>
          <v:rect style="width:0;height:1.5pt" o:hralign="center" o:hrstd="t" o:hr="t"/>
        </w:pict>
      </w:r>
    </w:p>
    <w:bookmarkStart w:id="52" w:name="partes-interessadas"/>
    <w:p>
      <w:pPr>
        <w:pStyle w:val="Heading2"/>
      </w:pPr>
      <w:r>
        <w:t xml:space="preserve">1. Partes interessadas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Pessoa / grupo</w:t>
            </w:r>
          </w:p>
        </w:tc>
        <w:tc>
          <w:tcPr/>
          <w:p>
            <w:pPr>
              <w:pStyle w:val="Compact"/>
            </w:pPr>
            <w:r>
              <w:t xml:space="preserve">Papel no projeto</w:t>
            </w:r>
          </w:p>
        </w:tc>
        <w:tc>
          <w:tcPr/>
          <w:p>
            <w:pPr>
              <w:pStyle w:val="Compact"/>
            </w:pPr>
            <w:r>
              <w:t xml:space="preserve">Interesse</w:t>
            </w:r>
          </w:p>
        </w:tc>
        <w:tc>
          <w:tcPr/>
          <w:p>
            <w:pPr>
              <w:pStyle w:val="Compact"/>
            </w:pPr>
            <w:r>
              <w:t xml:space="preserve">Influência</w:t>
            </w:r>
          </w:p>
        </w:tc>
        <w:tc>
          <w:tcPr/>
          <w:p>
            <w:pPr>
              <w:pStyle w:val="Compact"/>
            </w:pPr>
            <w:r>
              <w:t xml:space="preserve">Como se gere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{{Direção}}</w:t>
            </w:r>
          </w:p>
        </w:tc>
        <w:tc>
          <w:tcPr/>
          <w:p>
            <w:pPr>
              <w:pStyle w:val="Compact"/>
            </w:pPr>
            <w:r>
              <w:t xml:space="preserve">Patrocinador</w:t>
            </w:r>
          </w:p>
        </w:tc>
        <w:tc>
          <w:tcPr/>
          <w:p>
            <w:pPr>
              <w:pStyle w:val="Compact"/>
            </w:pPr>
            <w: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Envolver de perto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{{Operadores de armazém}}</w:t>
            </w:r>
          </w:p>
        </w:tc>
        <w:tc>
          <w:tcPr/>
          <w:p>
            <w:pPr>
              <w:pStyle w:val="Compact"/>
            </w:pPr>
            <w:r>
              <w:t xml:space="preserve">Utilizador final</w:t>
            </w:r>
          </w:p>
        </w:tc>
        <w:tc>
          <w:tcPr/>
          <w:p>
            <w:pPr>
              <w:pStyle w:val="Compact"/>
            </w:pPr>
            <w: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Manter informado e ouvir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{{Admin. de base de dados}}</w:t>
            </w:r>
          </w:p>
        </w:tc>
        <w:tc>
          <w:tcPr/>
          <w:p>
            <w:pPr>
              <w:pStyle w:val="Compact"/>
            </w:pPr>
            <w:r>
              <w:t xml:space="preserve">Fornecedor de serviço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Consultar antes de decidir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drawing>
          <wp:inline>
            <wp:extent cx="6191999" cy="6191999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ou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619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2"/>
    <w:bookmarkStart w:id="54" w:name="matriz-raci"/>
    <w:p>
      <w:pPr>
        <w:pStyle w:val="Heading2"/>
      </w:pPr>
      <w:r>
        <w:t xml:space="preserve">2. Matriz RACI</w:t>
      </w:r>
    </w:p>
    <w:p>
      <w:pPr>
        <w:pStyle w:val="FirstParagraph"/>
      </w:pPr>
      <w:r>
        <w:rPr>
          <w:b/>
          <w:bCs/>
        </w:rPr>
        <w:t xml:space="preserve">R</w:t>
      </w:r>
      <w:r>
        <w:t xml:space="preserve"> </w:t>
      </w:r>
      <w:r>
        <w:t xml:space="preserve">— executa ·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— responde pelo resultado (só uma pessoa) ·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— consultado antes ·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— informado depois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Atividade / entrega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{{PO}}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{{Tech Lead}}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{{Programador}}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{{QA}}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{{Admin. BD}}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{{Patrocinador}}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Definir âmbito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Priorizar requisitos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Decisões de arquitetura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Estrutura da base de dados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Escrever código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Aceitar entregas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Entrada em serviço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Alterações ao âmbito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</w:tr>
    </w:tbl>
    <w:bookmarkStart w:id="53" w:name="regras-de-leitura"/>
    <w:p>
      <w:pPr>
        <w:pStyle w:val="Heading3"/>
      </w:pPr>
      <w:r>
        <w:t xml:space="preserve">Regras de leitura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Regra</w:t>
            </w:r>
          </w:p>
        </w:tc>
        <w:tc>
          <w:tcPr/>
          <w:p>
            <w:pPr>
              <w:pStyle w:val="Compact"/>
            </w:pPr>
            <w:r>
              <w:t xml:space="preserve">Porquê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Um e só um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por linha</w:t>
            </w:r>
          </w:p>
        </w:tc>
        <w:tc>
          <w:tcPr/>
          <w:p>
            <w:pPr>
              <w:pStyle w:val="Compact"/>
            </w:pPr>
            <w:r>
              <w:t xml:space="preserve">Duas pessoas a responder pelo mesmo resultado é ninguém a responder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uma linha tem só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, falta trabalho</w:t>
            </w:r>
          </w:p>
        </w:tc>
        <w:tc>
          <w:tcPr/>
          <w:p>
            <w:pPr>
              <w:pStyle w:val="Compact"/>
            </w:pPr>
            <w:r>
              <w:t xml:space="preserve">Alguém tem de a executar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uma coluna só tem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, essa pessoa não é parte interessada</w:t>
            </w:r>
          </w:p>
        </w:tc>
        <w:tc>
          <w:tcPr/>
          <w:p>
            <w:pPr>
              <w:pStyle w:val="Compact"/>
            </w:pPr>
            <w:r>
              <w:t xml:space="preserve">É audiência de newsletter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t xml:space="preserve">obriga a esperar pela resposta</w:t>
            </w:r>
          </w:p>
        </w:tc>
        <w:tc>
          <w:tcPr/>
          <w:p>
            <w:pPr>
              <w:pStyle w:val="Compact"/>
            </w:pPr>
            <w:r>
              <w:t xml:space="preserve">Consultar depois de decidir chama-se informar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plano-de-comunicação"/>
    <w:p>
      <w:pPr>
        <w:pStyle w:val="Heading2"/>
      </w:pPr>
      <w:r>
        <w:t xml:space="preserve">3. Plano de comunicação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 quê</w:t>
            </w:r>
          </w:p>
        </w:tc>
        <w:tc>
          <w:tcPr/>
          <w:p>
            <w:pPr>
              <w:pStyle w:val="Compact"/>
            </w:pPr>
            <w:r>
              <w:t xml:space="preserve">Para quem</w:t>
            </w:r>
          </w:p>
        </w:tc>
        <w:tc>
          <w:tcPr/>
          <w:p>
            <w:pPr>
              <w:pStyle w:val="Compact"/>
            </w:pPr>
            <w:r>
              <w:t xml:space="preserve">Quando</w:t>
            </w:r>
          </w:p>
        </w:tc>
        <w:tc>
          <w:tcPr/>
          <w:p>
            <w:pPr>
              <w:pStyle w:val="Compact"/>
            </w:pPr>
            <w:r>
              <w:t xml:space="preserve">Como</w:t>
            </w:r>
          </w:p>
        </w:tc>
        <w:tc>
          <w:tcPr/>
          <w:p>
            <w:pPr>
              <w:pStyle w:val="Compact"/>
            </w:pPr>
            <w:r>
              <w:t xml:space="preserve">Quem envia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Relatório de estado</w:t>
            </w:r>
          </w:p>
        </w:tc>
        <w:tc>
          <w:tcPr/>
          <w:p>
            <w:pPr>
              <w:pStyle w:val="Compact"/>
            </w:pPr>
            <w:r>
              <w:t xml:space="preserve">{{Patrocinador, PO}}</w:t>
            </w:r>
          </w:p>
        </w:tc>
        <w:tc>
          <w:tcPr/>
          <w:p>
            <w:pPr>
              <w:pStyle w:val="Compact"/>
            </w:pPr>
            <w:r>
              <w:t xml:space="preserve">{{Sexta, semanal}}</w:t>
            </w:r>
          </w:p>
        </w:tc>
        <w:tc>
          <w:tcPr/>
          <w:p>
            <w:pPr>
              <w:pStyle w:val="Compact"/>
            </w:pPr>
            <w:r>
              <w:t xml:space="preserve">{{E-mail, 1 página}}</w:t>
            </w:r>
          </w:p>
        </w:tc>
        <w:tc>
          <w:tcPr/>
          <w:p>
            <w:pPr>
              <w:pStyle w:val="Compact"/>
            </w:pPr>
            <w:r>
              <w:t xml:space="preserve">{{Gestor}}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Ponto de situação</w:t>
            </w:r>
          </w:p>
        </w:tc>
        <w:tc>
          <w:tcPr/>
          <w:p>
            <w:pPr>
              <w:pStyle w:val="Compact"/>
            </w:pPr>
            <w:r>
              <w:t xml:space="preserve">{{Equipa}}</w:t>
            </w:r>
          </w:p>
        </w:tc>
        <w:tc>
          <w:tcPr/>
          <w:p>
            <w:pPr>
              <w:pStyle w:val="Compact"/>
            </w:pPr>
            <w:r>
              <w:t xml:space="preserve">{{Segunda, 15 min}}</w:t>
            </w:r>
          </w:p>
        </w:tc>
        <w:tc>
          <w:tcPr/>
          <w:p>
            <w:pPr>
              <w:pStyle w:val="Compact"/>
            </w:pPr>
            <w:r>
              <w:t xml:space="preserve">{{Presencial/Teams}}</w:t>
            </w:r>
          </w:p>
        </w:tc>
        <w:tc>
          <w:tcPr/>
          <w:p>
            <w:pPr>
              <w:pStyle w:val="Compact"/>
            </w:pPr>
            <w:r>
              <w:t xml:space="preserve">{{Tech Lead}}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Demonstração de incremento</w:t>
            </w:r>
          </w:p>
        </w:tc>
        <w:tc>
          <w:tcPr/>
          <w:p>
            <w:pPr>
              <w:pStyle w:val="Compact"/>
            </w:pPr>
            <w:r>
              <w:t xml:space="preserve">{{PO + utilizadores}}</w:t>
            </w:r>
          </w:p>
        </w:tc>
        <w:tc>
          <w:tcPr/>
          <w:p>
            <w:pPr>
              <w:pStyle w:val="Compact"/>
            </w:pPr>
            <w:r>
              <w:t xml:space="preserve">{{Fim de cada incremento}}</w:t>
            </w:r>
          </w:p>
        </w:tc>
        <w:tc>
          <w:tcPr/>
          <w:p>
            <w:pPr>
              <w:pStyle w:val="Compact"/>
            </w:pPr>
            <w:r>
              <w:t xml:space="preserve">{{Sessão de 45 min}}</w:t>
            </w:r>
          </w:p>
        </w:tc>
        <w:tc>
          <w:tcPr/>
          <w:p>
            <w:pPr>
              <w:pStyle w:val="Compact"/>
            </w:pPr>
            <w:r>
              <w:t xml:space="preserve">{{Equipa}}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Aviso de risco crítico</w:t>
            </w:r>
          </w:p>
        </w:tc>
        <w:tc>
          <w:tcPr/>
          <w:p>
            <w:pPr>
              <w:pStyle w:val="Compact"/>
            </w:pPr>
            <w:r>
              <w:t xml:space="preserve">{{Patrocinador}}</w:t>
            </w:r>
          </w:p>
        </w:tc>
        <w:tc>
          <w:tcPr/>
          <w:p>
            <w:pPr>
              <w:pStyle w:val="Compact"/>
            </w:pPr>
            <w:r>
              <w:t xml:space="preserve">{{Imediato}}</w:t>
            </w:r>
          </w:p>
        </w:tc>
        <w:tc>
          <w:tcPr/>
          <w:p>
            <w:pPr>
              <w:pStyle w:val="Compact"/>
            </w:pPr>
            <w:r>
              <w:t xml:space="preserve">{{Telefone + e-mail}}</w:t>
            </w:r>
          </w:p>
        </w:tc>
        <w:tc>
          <w:tcPr/>
          <w:p>
            <w:pPr>
              <w:pStyle w:val="Compact"/>
            </w:pPr>
            <w:r>
              <w:t xml:space="preserve">{{Gestor}}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Nota de entrada em serviço</w:t>
            </w:r>
          </w:p>
        </w:tc>
        <w:tc>
          <w:tcPr/>
          <w:p>
            <w:pPr>
              <w:pStyle w:val="Compact"/>
            </w:pPr>
            <w:r>
              <w:t xml:space="preserve">{{Todos os utilizadores}}</w:t>
            </w:r>
          </w:p>
        </w:tc>
        <w:tc>
          <w:tcPr/>
          <w:p>
            <w:pPr>
              <w:pStyle w:val="Compact"/>
            </w:pPr>
            <w:r>
              <w:t xml:space="preserve">{{−7 dias e −1 dia}}</w:t>
            </w:r>
          </w:p>
        </w:tc>
        <w:tc>
          <w:tcPr/>
          <w:p>
            <w:pPr>
              <w:pStyle w:val="Compact"/>
            </w:pPr>
            <w:r>
              <w:t xml:space="preserve">{{E-mail + cartaz}}</w:t>
            </w:r>
          </w:p>
        </w:tc>
        <w:tc>
          <w:tcPr/>
          <w:p>
            <w:pPr>
              <w:pStyle w:val="Compact"/>
            </w:pPr>
            <w:r>
              <w:t xml:space="preserve">{{PO}}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 de escalada:</w:t>
      </w:r>
      <w:r>
        <w:t xml:space="preserve"> </w:t>
      </w:r>
      <w:r>
        <w:t xml:space="preserve">um bloqueio que não se resolva em {{2 dias úteis}} sobe</w:t>
      </w:r>
      <w:r>
        <w:t xml:space="preserve"> </w:t>
      </w:r>
      <w:r>
        <w:t xml:space="preserve">para {{papel}}; em {{5 dias}}, para o patrocinador.</w:t>
      </w:r>
    </w:p>
    <w:p>
      <w:r>
        <w:pict>
          <v:rect style="width:0;height:1.5pt" o:hralign="center" o:hrstd="t" o:hr="t"/>
        </w:pict>
      </w:r>
    </w:p>
    <w:bookmarkEnd w:id="55"/>
    <w:bookmarkStart w:id="56" w:name="canais-e-onde-vive-cada-coisa"/>
    <w:p>
      <w:pPr>
        <w:pStyle w:val="Heading2"/>
      </w:pPr>
      <w:r>
        <w:t xml:space="preserve">4. Canais e onde vive cada coisa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Assunto</w:t>
            </w:r>
          </w:p>
        </w:tc>
        <w:tc>
          <w:tcPr/>
          <w:p>
            <w:pPr>
              <w:pStyle w:val="Compact"/>
            </w:pPr>
            <w:r>
              <w:t xml:space="preserve">Canal</w:t>
            </w:r>
          </w:p>
        </w:tc>
        <w:tc>
          <w:tcPr/>
          <w:p>
            <w:pPr>
              <w:pStyle w:val="Compact"/>
            </w:pPr>
            <w:r>
              <w:t xml:space="preserve">Não usar para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Decisões</w:t>
            </w:r>
          </w:p>
        </w:tc>
        <w:tc>
          <w:tcPr/>
          <w:p>
            <w:pPr>
              <w:pStyle w:val="Compact"/>
            </w:pPr>
            <w:r>
              <w:t xml:space="preserve">{{Ata de reunião + ADR}}</w:t>
            </w:r>
          </w:p>
        </w:tc>
        <w:tc>
          <w:tcPr/>
          <w:p>
            <w:pPr>
              <w:pStyle w:val="Compact"/>
            </w:pPr>
            <w:r>
              <w:t xml:space="preserve">{{Chat — perde-se}}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Trabalho diário</w:t>
            </w:r>
          </w:p>
        </w:tc>
        <w:tc>
          <w:tcPr/>
          <w:p>
            <w:pPr>
              <w:pStyle w:val="Compact"/>
            </w:pPr>
            <w:r>
              <w:t xml:space="preserve">{{Quadro de tarefas}}</w:t>
            </w:r>
          </w:p>
        </w:tc>
        <w:tc>
          <w:tcPr/>
          <w:p>
            <w:pPr>
              <w:pStyle w:val="Compact"/>
            </w:pPr>
            <w:r>
              <w:t xml:space="preserve">{{E-mail}}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Dúvidas rápidas</w:t>
            </w:r>
          </w:p>
        </w:tc>
        <w:tc>
          <w:tcPr/>
          <w:p>
            <w:pPr>
              <w:pStyle w:val="Compact"/>
            </w:pPr>
            <w:r>
              <w:t xml:space="preserve">{{Chat}}</w:t>
            </w:r>
          </w:p>
        </w:tc>
        <w:tc>
          <w:tcPr/>
          <w:p>
            <w:pPr>
              <w:pStyle w:val="Compact"/>
            </w:pPr>
            <w:r>
              <w:t xml:space="preserve">{{Decisões}}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Documentação</w:t>
            </w:r>
          </w:p>
        </w:tc>
        <w:tc>
          <w:tcPr/>
          <w:p>
            <w:pPr>
              <w:pStyle w:val="Compact"/>
            </w:pPr>
            <w:r>
              <w:t xml:space="preserve">{{Repositório, junto do código}}</w:t>
            </w:r>
          </w:p>
        </w:tc>
        <w:tc>
          <w:tcPr/>
          <w:p>
            <w:pPr>
              <w:pStyle w:val="Compact"/>
            </w:pPr>
            <w:r>
              <w:t xml:space="preserve">{{Anexos de e-mail}}</w:t>
            </w:r>
          </w:p>
        </w:tc>
      </w:tr>
    </w:tbl>
    <w:p>
      <w:pPr>
        <w:pStyle w:val="BlockText"/>
      </w:pPr>
      <w:r>
        <w:t xml:space="preserve">Uma decisão tomada no chat e não registada em ata não existe: dentro de três</w:t>
      </w:r>
      <w:r>
        <w:t xml:space="preserve"> </w:t>
      </w:r>
      <w:r>
        <w:t xml:space="preserve">meses ninguém a encontra, e ninguém se lembra de quem a tomou nem porquê.</w:t>
      </w:r>
    </w:p>
    <w:bookmarkEnd w:id="56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49" Target="media/rId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Responsabilidades e Comunicação — {{PROJETO}}</dc:title>
  <dc:creator/>
  <dc:language>pt-PT</dc:language>
  <cp:keywords/>
  <dcterms:created xsi:type="dcterms:W3CDTF">2026-08-24T10:58:15Z</dcterms:created>
  <dcterms:modified xsi:type="dcterms:W3CDTF">2026-08-24T10:58:15Z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