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1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Casos de Uso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{{0.1}}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Autor:</w:t>
      </w:r>
      <w:r>
        <w:t xml:space="preserve"> </w:t>
      </w:r>
      <w:r>
        <w:t xml:space="preserve">{{Nome}}</w:t>
      </w:r>
    </w:p>
    <w:p>
      <w:r>
        <w:pict>
          <v:rect style="width:0;height:1.5pt" o:hralign="center" o:hrstd="t" o:hr="t"/>
        </w:pict>
      </w:r>
    </w:p>
    <w:bookmarkStart w:id="55" w:name="atores"/>
    <w:p>
      <w:pPr>
        <w:pStyle w:val="Heading2"/>
      </w:pPr>
      <w:r>
        <w:t xml:space="preserve">1. Atores</w:t>
      </w:r>
    </w:p>
    <w:bookmarkStart w:id="49" w:name="atores-primários-iniciam-casos-de-uso"/>
    <w:p>
      <w:pPr>
        <w:pStyle w:val="Heading3"/>
      </w:pPr>
      <w:r>
        <w:t xml:space="preserve">Atores primários (iniciam casos de uso)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Ator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Objetivos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{{Gestor de Encomendas}}</w:t>
            </w:r>
          </w:p>
        </w:tc>
        <w:tc>
          <w:tcPr/>
          <w:p>
            <w:pPr>
              <w:pStyle w:val="Compact"/>
            </w:pPr>
            <w:r>
              <w:t xml:space="preserve">Humano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{{Garantir entregas no prazo}}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{{Cliente}}</w:t>
            </w:r>
          </w:p>
        </w:tc>
        <w:tc>
          <w:tcPr/>
          <w:p>
            <w:pPr>
              <w:pStyle w:val="Compact"/>
            </w:pPr>
            <w:r>
              <w:t xml:space="preserve">Humano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{{Acompanhar a sua encomenda}}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{{Agendador}}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{{Processo automático diário}}</w:t>
            </w:r>
          </w:p>
        </w:tc>
        <w:tc>
          <w:tcPr/>
          <w:p>
            <w:pPr>
              <w:pStyle w:val="Compact"/>
            </w:pPr>
            <w:r>
              <w:t xml:space="preserve">{{Executar rotinas noturnas}}</w:t>
            </w:r>
          </w:p>
        </w:tc>
      </w:tr>
    </w:tbl>
    <w:bookmarkEnd w:id="49"/>
    <w:bookmarkStart w:id="50" w:name="X6a04e1f0936a05a054af7e3e3fd276f7e1e6549"/>
    <w:p>
      <w:pPr>
        <w:pStyle w:val="Heading3"/>
      </w:pPr>
      <w:r>
        <w:t xml:space="preserve">Atores secundários (participam mas não iniciam)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Ator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Papel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{{Gateway de Pagamento}}</w:t>
            </w:r>
          </w:p>
        </w:tc>
        <w:tc>
          <w:tcPr/>
          <w:p>
            <w:pPr>
              <w:pStyle w:val="Compact"/>
            </w:pPr>
            <w:r>
              <w:t xml:space="preserve">Sistema externo</w:t>
            </w:r>
          </w:p>
        </w:tc>
        <w:tc>
          <w:tcPr/>
          <w:p>
            <w:pPr>
              <w:pStyle w:val="Compact"/>
            </w:pPr>
            <w:r>
              <w:t xml:space="preserve">{{Autoriza e captura pagamentos}}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{{Serviço de E-mail}}</w:t>
            </w:r>
          </w:p>
        </w:tc>
        <w:tc>
          <w:tcPr/>
          <w:p>
            <w:pPr>
              <w:pStyle w:val="Compact"/>
            </w:pPr>
            <w:r>
              <w:t xml:space="preserve">Sistema externo</w:t>
            </w:r>
          </w:p>
        </w:tc>
        <w:tc>
          <w:tcPr/>
          <w:p>
            <w:pPr>
              <w:pStyle w:val="Compact"/>
            </w:pPr>
            <w:r>
              <w:t xml:space="preserve">{{Entrega notificações}}</w:t>
            </w:r>
          </w:p>
        </w:tc>
      </w:tr>
    </w:tbl>
    <w:bookmarkEnd w:id="50"/>
    <w:bookmarkStart w:id="54" w:name="hierarquia-de-atores"/>
    <w:p>
      <w:pPr>
        <w:pStyle w:val="Heading3"/>
      </w:pPr>
      <w:r>
        <w:t xml:space="preserve">Hierarquia de atores</w:t>
      </w:r>
    </w:p>
    <w:p>
      <w:pPr>
        <w:pStyle w:val="FirstParagraph"/>
      </w:pPr>
      <w:r>
        <w:drawing>
          <wp:inline>
            <wp:extent cx="6191999" cy="4404485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out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440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diagrama-de-casos-de-uso"/>
    <w:p>
      <w:pPr>
        <w:pStyle w:val="Heading2"/>
      </w:pPr>
      <w:r>
        <w:t xml:space="preserve">2. Diagrama de casos de uso</w:t>
      </w:r>
    </w:p>
    <w:p>
      <w:pPr>
        <w:pStyle w:val="FirstParagraph"/>
      </w:pPr>
      <w:r>
        <w:drawing>
          <wp:inline>
            <wp:extent cx="6191999" cy="5179846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out-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5179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Relações usadas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— o caso base</w:t>
      </w:r>
      <w:r>
        <w:t xml:space="preserve"> </w:t>
      </w:r>
      <w:r>
        <w:rPr>
          <w:b/>
          <w:bCs/>
        </w:rPr>
        <w:t xml:space="preserve">sempre</w:t>
      </w:r>
      <w:r>
        <w:t xml:space="preserve"> </w:t>
      </w:r>
      <w:r>
        <w:t xml:space="preserve">executa o incluído (fatorização de comportamento comum)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extend</w:t>
      </w:r>
      <w:r>
        <w:t xml:space="preserve"> </w:t>
      </w:r>
      <w:r>
        <w:t xml:space="preserve">— o caso extensão executa</w:t>
      </w:r>
      <w:r>
        <w:t xml:space="preserve"> </w:t>
      </w:r>
      <w:r>
        <w:rPr>
          <w:b/>
          <w:bCs/>
        </w:rPr>
        <w:t xml:space="preserve">condicionalmente</w:t>
      </w:r>
      <w:r>
        <w:t xml:space="preserve">, a partir de um ponto de extensão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generalization</w:t>
      </w:r>
      <w:r>
        <w:t xml:space="preserve"> </w:t>
      </w:r>
      <w:r>
        <w:t xml:space="preserve">— especialização de um caso de uso ou ator</w:t>
      </w:r>
    </w:p>
    <w:p>
      <w:r>
        <w:pict>
          <v:rect style="width:0;height:1.5pt" o:hralign="center" o:hrstd="t" o:hr="t"/>
        </w:pict>
      </w:r>
    </w:p>
    <w:bookmarkEnd w:id="59"/>
    <w:bookmarkStart w:id="60" w:name="índice-de-casos-de-uso"/>
    <w:p>
      <w:pPr>
        <w:pStyle w:val="Heading2"/>
      </w:pPr>
      <w:r>
        <w:t xml:space="preserve">3. Índice de casos de uso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Ator primário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Complexidade</w:t>
            </w:r>
          </w:p>
        </w:tc>
        <w:tc>
          <w:tcPr/>
          <w:p>
            <w:pPr>
              <w:pStyle w:val="Compact"/>
            </w:pPr>
            <w:r>
              <w:t xml:space="preserve">Requisitos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</w:t>
            </w:r>
          </w:p>
        </w:tc>
        <w:tc>
          <w:tcPr/>
          <w:p>
            <w:pPr>
              <w:pStyle w:val="Compact"/>
            </w:pPr>
            <w:r>
              <w:t xml:space="preserve">Autenticar utilizador</w:t>
            </w:r>
          </w:p>
        </w:tc>
        <w:tc>
          <w:tcPr/>
          <w:p>
            <w:pPr>
              <w:pStyle w:val="Compact"/>
            </w:pPr>
            <w:r>
              <w:t xml:space="preserve">Cliente, Gestor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RF-01</w:t>
            </w:r>
          </w:p>
        </w:tc>
        <w:tc>
          <w:tcPr/>
          <w:p>
            <w:pPr>
              <w:pStyle w:val="Compact"/>
            </w:pPr>
            <w:r>
              <w:t xml:space="preserve">Aprovado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UC-02</w:t>
            </w:r>
          </w:p>
        </w:tc>
        <w:tc>
          <w:tcPr/>
          <w:p>
            <w:pPr>
              <w:pStyle w:val="Compact"/>
            </w:pPr>
            <w:r>
              <w:t xml:space="preserve">Criar encomenda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RF-06, RF-07</w:t>
            </w:r>
          </w:p>
        </w:tc>
        <w:tc>
          <w:tcPr/>
          <w:p>
            <w:pPr>
              <w:pStyle w:val="Compact"/>
            </w:pPr>
            <w:r>
              <w:t xml:space="preserve">Aprovado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UC-03</w:t>
            </w:r>
          </w:p>
        </w:tc>
        <w:tc>
          <w:tcPr/>
          <w:p>
            <w:pPr>
              <w:pStyle w:val="Compact"/>
            </w:pPr>
            <w:r>
              <w:t xml:space="preserve">Consultar encomendas</w:t>
            </w:r>
          </w:p>
        </w:tc>
        <w:tc>
          <w:tcPr/>
          <w:p>
            <w:pPr>
              <w:pStyle w:val="Compact"/>
            </w:pPr>
            <w:r>
              <w:t xml:space="preserve">Cliente, Gestor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RF-08</w:t>
            </w:r>
          </w:p>
        </w:tc>
        <w:tc>
          <w:tcPr/>
          <w:p>
            <w:pPr>
              <w:pStyle w:val="Compact"/>
            </w:pPr>
            <w:r>
              <w:t xml:space="preserve">Rascunho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9" w:name="especificações-detalhadas"/>
    <w:p>
      <w:pPr>
        <w:pStyle w:val="Heading2"/>
      </w:pPr>
      <w:r>
        <w:t xml:space="preserve">4. Especificações detalhadas</w:t>
      </w:r>
    </w:p>
    <w:bookmarkStart w:id="67" w:name="uc-01-autenticar-utilizador"/>
    <w:p>
      <w:pPr>
        <w:pStyle w:val="Heading3"/>
      </w:pPr>
      <w:r>
        <w:t xml:space="preserve">UC-01 — Autenticar utilizador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UC-01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Autenticar utilizador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 primário</w:t>
            </w:r>
          </w:p>
        </w:tc>
        <w:tc>
          <w:tcPr/>
          <w:p>
            <w:pPr>
              <w:pStyle w:val="Compact"/>
            </w:pPr>
            <w:r>
              <w:t xml:space="preserve">{{Utilizador registado}}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 secundários</w:t>
            </w:r>
          </w:p>
        </w:tc>
        <w:tc>
          <w:tcPr/>
          <w:p>
            <w:pPr>
              <w:pStyle w:val="Compact"/>
            </w:pPr>
            <w:r>
              <w:t xml:space="preserve">{{Serviço de Identidade}}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{{Obter acesso às funcionalidades reservadas}}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Âmbito</w:t>
            </w:r>
          </w:p>
        </w:tc>
        <w:tc>
          <w:tcPr/>
          <w:p>
            <w:pPr>
              <w:pStyle w:val="Compact"/>
            </w:pPr>
            <w:r>
              <w:t xml:space="preserve">{{Sistema de Encomendas}}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Objetivo de utilizador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Frequência de uso</w:t>
            </w:r>
          </w:p>
        </w:tc>
        <w:tc>
          <w:tcPr/>
          <w:p>
            <w:pPr>
              <w:pStyle w:val="Compact"/>
            </w:pPr>
            <w:r>
              <w:t xml:space="preserve">{{~2000 vezes/dia; pico às 9h}}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Requisitos</w:t>
            </w:r>
          </w:p>
        </w:tc>
        <w:tc>
          <w:tcPr/>
          <w:p>
            <w:pPr>
              <w:pStyle w:val="Compact"/>
            </w:pPr>
            <w:r>
              <w:t xml:space="preserve">RF-01, RNF-13, RNF-17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Regras de negócio</w:t>
            </w:r>
          </w:p>
        </w:tc>
        <w:tc>
          <w:tcPr/>
          <w:p>
            <w:pPr>
              <w:pStyle w:val="Compact"/>
            </w:pPr>
            <w:r>
              <w:t xml:space="preserve">RN-01, RN-08</w:t>
            </w:r>
          </w:p>
        </w:tc>
      </w:tr>
    </w:tbl>
    <w:p>
      <w:pPr>
        <w:pStyle w:val="BodyText"/>
      </w:pPr>
      <w:r>
        <w:rPr>
          <w:b/>
          <w:bCs/>
        </w:rPr>
        <w:t xml:space="preserve">Pré-condições</w:t>
      </w:r>
      <w:r>
        <w:t xml:space="preserve"> </w:t>
      </w:r>
      <w:r>
        <w:t xml:space="preserve">1. O utilizador tem conta ativa no sistema.</w:t>
      </w:r>
      <w:r>
        <w:t xml:space="preserve"> </w:t>
      </w:r>
      <w:r>
        <w:t xml:space="preserve">2. O sistema está disponível.</w:t>
      </w:r>
    </w:p>
    <w:p>
      <w:pPr>
        <w:pStyle w:val="BodyText"/>
      </w:pPr>
      <w:r>
        <w:rPr>
          <w:b/>
          <w:bCs/>
        </w:rPr>
        <w:t xml:space="preserve">Pós-condições de sucesso</w:t>
      </w:r>
      <w:r>
        <w:t xml:space="preserve"> </w:t>
      </w:r>
      <w:r>
        <w:t xml:space="preserve">1. Existe uma sessão autenticada associada ao utilizador.</w:t>
      </w:r>
      <w:r>
        <w:t xml:space="preserve"> </w:t>
      </w:r>
      <w:r>
        <w:t xml:space="preserve">2. O evento de autenticação foi registado no log de auditoria.</w:t>
      </w:r>
    </w:p>
    <w:p>
      <w:pPr>
        <w:pStyle w:val="BodyText"/>
      </w:pPr>
      <w:r>
        <w:rPr>
          <w:b/>
          <w:bCs/>
        </w:rPr>
        <w:t xml:space="preserve">Pós-condições de insucesso</w:t>
      </w:r>
      <w:r>
        <w:t xml:space="preserve"> </w:t>
      </w:r>
      <w:r>
        <w:t xml:space="preserve">1. Nenhuma sessão é criada.</w:t>
      </w:r>
      <w:r>
        <w:t xml:space="preserve"> </w:t>
      </w:r>
      <w:r>
        <w:t xml:space="preserve">2. A tentativa falhada é registada e contabilizada.</w:t>
      </w:r>
    </w:p>
    <w:p>
      <w:pPr>
        <w:pStyle w:val="BodyText"/>
      </w:pPr>
      <w:r>
        <w:rPr>
          <w:b/>
          <w:bCs/>
        </w:rPr>
        <w:t xml:space="preserve">Gatilho (trigger)</w:t>
      </w:r>
      <w:r>
        <w:t xml:space="preserve"> </w:t>
      </w:r>
      <w:r>
        <w:t xml:space="preserve">{{O utilizador acede a uma página que exige autenticação, ou clica em</w:t>
      </w:r>
      <w:r>
        <w:t xml:space="preserve"> </w:t>
      </w:r>
      <w:r>
        <w:t xml:space="preserve">“Entrar”</w:t>
      </w:r>
      <w:r>
        <w:t xml:space="preserve">.}}</w:t>
      </w:r>
    </w:p>
    <w:p>
      <w:r>
        <w:pict>
          <v:rect style="width:0;height:1.5pt" o:hralign="center" o:hrstd="t" o:hr="t"/>
        </w:pict>
      </w:r>
    </w:p>
    <w:bookmarkStart w:id="61" w:name="fluxo-principal-caminho-feliz"/>
    <w:p>
      <w:pPr>
        <w:pStyle w:val="Heading4"/>
      </w:pPr>
      <w:r>
        <w:t xml:space="preserve">Fluxo principal (caminho feliz)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Ator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Acede ao formulário de autenticação.</w:t>
            </w:r>
          </w:p>
        </w:tc>
        <w:tc>
          <w:tcPr/>
          <w:p>
            <w:pPr>
              <w:pStyle w:val="Compact"/>
            </w:pPr>
            <w:r>
              <w:t xml:space="preserve">Apresenta os campos e-mail e palavra-passe.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Introduz credenciais e submete.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Valida o formato dos dados.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Verifica as credenciais contra o serviço de identidade.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Cria a sessão e regista o evento de auditoria.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Redireciona para o painel principal.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fluxos-alternativos"/>
    <w:p>
      <w:pPr>
        <w:pStyle w:val="Heading4"/>
      </w:pPr>
      <w:r>
        <w:t xml:space="preserve">Fluxos alternativos</w:t>
      </w:r>
    </w:p>
    <w:p>
      <w:pPr>
        <w:pStyle w:val="FirstParagraph"/>
      </w:pPr>
      <w:r>
        <w:rPr>
          <w:b/>
          <w:bCs/>
        </w:rPr>
        <w:t xml:space="preserve">A1 — Utilizador já autenticado</w:t>
      </w:r>
      <w:r>
        <w:t xml:space="preserve"> </w:t>
      </w:r>
      <w:r>
        <w:rPr>
          <w:i/>
          <w:iCs/>
        </w:rPr>
        <w:t xml:space="preserve">(no passo 1)</w:t>
      </w:r>
      <w:r>
        <w:t xml:space="preserve"> </w:t>
      </w:r>
      <w:r>
        <w:t xml:space="preserve">1. O sistema deteta sessão válida.</w:t>
      </w:r>
      <w:r>
        <w:t xml:space="preserve"> </w:t>
      </w:r>
      <w:r>
        <w:t xml:space="preserve">2. Redireciona diretamente para o painel principal.</w:t>
      </w:r>
      <w:r>
        <w:t xml:space="preserve"> </w:t>
      </w:r>
      <w:r>
        <w:t xml:space="preserve">3.</w:t>
      </w:r>
      <w:r>
        <w:t xml:space="preserve"> </w:t>
      </w:r>
      <w:r>
        <w:rPr>
          <w:i/>
          <w:iCs/>
        </w:rPr>
        <w:t xml:space="preserve">Fim do caso de uso.</w:t>
      </w:r>
    </w:p>
    <w:p>
      <w:pPr>
        <w:pStyle w:val="BodyText"/>
      </w:pPr>
      <w:r>
        <w:rPr>
          <w:b/>
          <w:bCs/>
        </w:rPr>
        <w:t xml:space="preserve">A2 — Autenticação via SSO</w:t>
      </w:r>
      <w:r>
        <w:t xml:space="preserve"> </w:t>
      </w:r>
      <w:r>
        <w:rPr>
          <w:i/>
          <w:iCs/>
        </w:rPr>
        <w:t xml:space="preserve">(no passo 2)</w:t>
      </w:r>
      <w:r>
        <w:t xml:space="preserve"> </w:t>
      </w:r>
      <w:r>
        <w:t xml:space="preserve">1. O utilizador escolhe</w:t>
      </w:r>
      <w:r>
        <w:t xml:space="preserve"> </w:t>
      </w:r>
      <w:r>
        <w:t xml:space="preserve">“Entrar com {{fornecedor}}”</w:t>
      </w:r>
      <w:r>
        <w:t xml:space="preserve">.</w:t>
      </w:r>
      <w:r>
        <w:t xml:space="preserve"> </w:t>
      </w:r>
      <w:r>
        <w:t xml:space="preserve">2. O sistema redireciona para o fornecedor de identidade.</w:t>
      </w:r>
      <w:r>
        <w:t xml:space="preserve"> </w:t>
      </w:r>
      <w:r>
        <w:t xml:space="preserve">3. O fornecedor devolve a asserção de identidade.</w:t>
      </w:r>
      <w:r>
        <w:t xml:space="preserve"> </w:t>
      </w:r>
      <w:r>
        <w:t xml:space="preserve">4.</w:t>
      </w:r>
      <w:r>
        <w:t xml:space="preserve"> </w:t>
      </w:r>
      <w:r>
        <w:rPr>
          <w:i/>
          <w:iCs/>
        </w:rPr>
        <w:t xml:space="preserve">Regressa ao passo 5 do fluxo principal.</w:t>
      </w:r>
    </w:p>
    <w:p>
      <w:pPr>
        <w:pStyle w:val="BodyText"/>
      </w:pPr>
      <w:r>
        <w:rPr>
          <w:b/>
          <w:bCs/>
        </w:rPr>
        <w:t xml:space="preserve">A3 — MFA exigido</w:t>
      </w:r>
      <w:r>
        <w:t xml:space="preserve"> </w:t>
      </w:r>
      <w:r>
        <w:rPr>
          <w:i/>
          <w:iCs/>
        </w:rPr>
        <w:t xml:space="preserve">(após o passo 4)</w:t>
      </w:r>
      <w:r>
        <w:t xml:space="preserve"> </w:t>
      </w:r>
      <w:r>
        <w:t xml:space="preserve">1. O sistema deteta que o papel do utilizador exige MFA (RN-08).</w:t>
      </w:r>
      <w:r>
        <w:t xml:space="preserve"> </w:t>
      </w:r>
      <w:r>
        <w:t xml:space="preserve">2. Solicita o código de segundo fator.</w:t>
      </w:r>
      <w:r>
        <w:t xml:space="preserve"> </w:t>
      </w:r>
      <w:r>
        <w:t xml:space="preserve">3. O utilizador introduz o código.</w:t>
      </w:r>
      <w:r>
        <w:t xml:space="preserve"> </w:t>
      </w:r>
      <w:r>
        <w:t xml:space="preserve">4. O sistema valida o código.</w:t>
      </w:r>
      <w:r>
        <w:t xml:space="preserve"> </w:t>
      </w:r>
      <w:r>
        <w:t xml:space="preserve">5.</w:t>
      </w:r>
      <w:r>
        <w:t xml:space="preserve"> </w:t>
      </w:r>
      <w:r>
        <w:rPr>
          <w:i/>
          <w:iCs/>
        </w:rPr>
        <w:t xml:space="preserve">Regressa ao passo 5 do fluxo principal.</w:t>
      </w:r>
      <w:r>
        <w:t xml:space="preserve"> </w:t>
      </w:r>
      <w:r>
        <w:t xml:space="preserve">- 4a. Código inválido: até 3 tentativas; depois → E3.</w:t>
      </w:r>
    </w:p>
    <w:p>
      <w:r>
        <w:pict>
          <v:rect style="width:0;height:1.5pt" o:hralign="center" o:hrstd="t" o:hr="t"/>
        </w:pict>
      </w:r>
    </w:p>
    <w:bookmarkEnd w:id="62"/>
    <w:bookmarkStart w:id="63" w:name="fluxos-de-exceção"/>
    <w:p>
      <w:pPr>
        <w:pStyle w:val="Heading4"/>
      </w:pPr>
      <w:r>
        <w:t xml:space="preserve">Fluxos de exceção</w:t>
      </w:r>
    </w:p>
    <w:p>
      <w:pPr>
        <w:pStyle w:val="FirstParagraph"/>
      </w:pPr>
      <w:r>
        <w:rPr>
          <w:b/>
          <w:bCs/>
        </w:rPr>
        <w:t xml:space="preserve">E1 — Credenciais inválidas</w:t>
      </w:r>
      <w:r>
        <w:t xml:space="preserve"> </w:t>
      </w:r>
      <w:r>
        <w:rPr>
          <w:i/>
          <w:iCs/>
        </w:rPr>
        <w:t xml:space="preserve">(no passo 4)</w:t>
      </w:r>
      <w:r>
        <w:t xml:space="preserve"> </w:t>
      </w:r>
      <w:r>
        <w:t xml:space="preserve">1. O sistema apresenta</w:t>
      </w:r>
      <w:r>
        <w:t xml:space="preserve"> </w:t>
      </w:r>
      <w:r>
        <w:t xml:space="preserve">“Credenciais inválidas”</w:t>
      </w:r>
      <w:r>
        <w:t xml:space="preserve"> </w:t>
      </w:r>
      <w:r>
        <w:t xml:space="preserve">(mensagem genérica — RNF-13).</w:t>
      </w:r>
      <w:r>
        <w:t xml:space="preserve"> </w:t>
      </w:r>
      <w:r>
        <w:t xml:space="preserve">2. Incrementa o contador de tentativas falhadas.</w:t>
      </w:r>
      <w:r>
        <w:t xml:space="preserve"> </w:t>
      </w:r>
      <w:r>
        <w:t xml:space="preserve">3.</w:t>
      </w:r>
      <w:r>
        <w:t xml:space="preserve"> </w:t>
      </w:r>
      <w:r>
        <w:rPr>
          <w:i/>
          <w:iCs/>
        </w:rPr>
        <w:t xml:space="preserve">Regressa ao passo 1.</w:t>
      </w:r>
    </w:p>
    <w:p>
      <w:pPr>
        <w:pStyle w:val="BodyText"/>
      </w:pPr>
      <w:r>
        <w:rPr>
          <w:b/>
          <w:bCs/>
        </w:rPr>
        <w:t xml:space="preserve">E2 — Conta bloqueada</w:t>
      </w:r>
      <w:r>
        <w:t xml:space="preserve"> </w:t>
      </w:r>
      <w:r>
        <w:rPr>
          <w:i/>
          <w:iCs/>
        </w:rPr>
        <w:t xml:space="preserve">(no passo 4)</w:t>
      </w:r>
      <w:r>
        <w:t xml:space="preserve"> </w:t>
      </w:r>
      <w:r>
        <w:t xml:space="preserve">1. O sistema deteta 5 tentativas falhadas em 15 min (RN-01).</w:t>
      </w:r>
      <w:r>
        <w:t xml:space="preserve"> </w:t>
      </w:r>
      <w:r>
        <w:t xml:space="preserve">2. Bloqueia o acesso por 15 minutos e notifica o utilizador por e-mail.</w:t>
      </w:r>
      <w:r>
        <w:t xml:space="preserve"> </w:t>
      </w:r>
      <w:r>
        <w:t xml:space="preserve">3.</w:t>
      </w:r>
      <w:r>
        <w:t xml:space="preserve"> </w:t>
      </w:r>
      <w:r>
        <w:rPr>
          <w:i/>
          <w:iCs/>
        </w:rPr>
        <w:t xml:space="preserve">Fim do caso de uso com insucesso.</w:t>
      </w:r>
    </w:p>
    <w:p>
      <w:pPr>
        <w:pStyle w:val="BodyText"/>
      </w:pPr>
      <w:r>
        <w:rPr>
          <w:b/>
          <w:bCs/>
        </w:rPr>
        <w:t xml:space="preserve">E3 — Serviço de identidade indisponível</w:t>
      </w:r>
      <w:r>
        <w:t xml:space="preserve"> </w:t>
      </w:r>
      <w:r>
        <w:rPr>
          <w:i/>
          <w:iCs/>
        </w:rPr>
        <w:t xml:space="preserve">(no passo 4)</w:t>
      </w:r>
      <w:r>
        <w:t xml:space="preserve"> </w:t>
      </w:r>
      <w:r>
        <w:t xml:space="preserve">1. O sistema deteta timeout após {{3 s}}.</w:t>
      </w:r>
      <w:r>
        <w:t xml:space="preserve"> </w:t>
      </w:r>
      <w:r>
        <w:t xml:space="preserve">2. Apresenta</w:t>
      </w:r>
      <w:r>
        <w:t xml:space="preserve"> </w:t>
      </w:r>
      <w:r>
        <w:t xml:space="preserve">“Serviço temporariamente indisponível. Tenta novamente.”</w:t>
      </w:r>
      <w:r>
        <w:t xml:space="preserve"> </w:t>
      </w:r>
      <w:r>
        <w:t xml:space="preserve">3. Regista o incidente e dispara alerta.</w:t>
      </w:r>
      <w:r>
        <w:t xml:space="preserve"> </w:t>
      </w:r>
      <w:r>
        <w:t xml:space="preserve">4.</w:t>
      </w:r>
      <w:r>
        <w:t xml:space="preserve"> </w:t>
      </w:r>
      <w:r>
        <w:rPr>
          <w:i/>
          <w:iCs/>
        </w:rPr>
        <w:t xml:space="preserve">Fim do caso de uso com insucesso.</w:t>
      </w:r>
    </w:p>
    <w:p>
      <w:pPr>
        <w:pStyle w:val="BodyText"/>
      </w:pPr>
      <w:r>
        <w:rPr>
          <w:b/>
          <w:bCs/>
        </w:rPr>
        <w:t xml:space="preserve">E4 — Conta desativada</w:t>
      </w:r>
      <w:r>
        <w:t xml:space="preserve"> </w:t>
      </w:r>
      <w:r>
        <w:rPr>
          <w:i/>
          <w:iCs/>
        </w:rPr>
        <w:t xml:space="preserve">(no passo 4)</w:t>
      </w:r>
      <w:r>
        <w:t xml:space="preserve"> </w:t>
      </w:r>
      <w:r>
        <w:t xml:space="preserve">1. O sistema apresenta mensagem genérica (não revela o motivo).</w:t>
      </w:r>
      <w:r>
        <w:t xml:space="preserve"> </w:t>
      </w:r>
      <w:r>
        <w:t xml:space="preserve">2.</w:t>
      </w:r>
      <w:r>
        <w:t xml:space="preserve"> </w:t>
      </w:r>
      <w:r>
        <w:rPr>
          <w:i/>
          <w:iCs/>
        </w:rPr>
        <w:t xml:space="preserve">Fim do caso de uso com insucesso.</w:t>
      </w:r>
    </w:p>
    <w:p>
      <w:r>
        <w:pict>
          <v:rect style="width:0;height:1.5pt" o:hralign="center" o:hrstd="t" o:hr="t"/>
        </w:pict>
      </w:r>
    </w:p>
    <w:bookmarkEnd w:id="63"/>
    <w:bookmarkStart w:id="64" w:name="requisitos-especiais"/>
    <w:p>
      <w:pPr>
        <w:pStyle w:val="Heading4"/>
      </w:pPr>
      <w:r>
        <w:t xml:space="preserve">Requisitos especiais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Desempenho</w:t>
            </w:r>
          </w:p>
        </w:tc>
        <w:tc>
          <w:tcPr/>
          <w:p>
            <w:pPr>
              <w:pStyle w:val="Compact"/>
            </w:pPr>
            <w:r>
              <w:t xml:space="preserve">Resposta em ≤ {{1 s}} p95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Segurança</w:t>
            </w:r>
          </w:p>
        </w:tc>
        <w:tc>
          <w:tcPr/>
          <w:p>
            <w:pPr>
              <w:pStyle w:val="Compact"/>
            </w:pPr>
            <w:r>
              <w:t xml:space="preserve">Proteção contra enumeração de contas e força bruta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Acessibilidade</w:t>
            </w:r>
          </w:p>
        </w:tc>
        <w:tc>
          <w:tcPr/>
          <w:p>
            <w:pPr>
              <w:pStyle w:val="Compact"/>
            </w:pPr>
            <w:r>
              <w:t xml:space="preserve">Formulário navegável só com teclado; erros anunciados por leitor de ecrã</w:t>
            </w:r>
          </w:p>
        </w:tc>
      </w:tr>
    </w:tbl>
    <w:bookmarkEnd w:id="64"/>
    <w:bookmarkStart w:id="65" w:name="dados-envolvidos"/>
    <w:p>
      <w:pPr>
        <w:pStyle w:val="Heading4"/>
      </w:pPr>
      <w:r>
        <w:t xml:space="preserve">Dados envolvidos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</w:pPr>
            <w:r>
              <w:t xml:space="preserve">Validação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E-mail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Formato de e-mail; máx. 254 caracteres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Palavra-passe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Mín. 12 caracteres</w:t>
            </w:r>
          </w:p>
        </w:tc>
      </w:tr>
    </w:tbl>
    <w:bookmarkEnd w:id="65"/>
    <w:bookmarkStart w:id="66" w:name="questões-em-aberto"/>
    <w:p>
      <w:pPr>
        <w:pStyle w:val="Heading4"/>
      </w:pPr>
      <w:r>
        <w:t xml:space="preserve">Questões em aberto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Questão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Q-01</w:t>
            </w:r>
          </w:p>
        </w:tc>
        <w:tc>
          <w:tcPr/>
          <w:p>
            <w:pPr>
              <w:pStyle w:val="Compact"/>
            </w:pPr>
            <w:r>
              <w:t xml:space="preserve">{{Manter</w:t>
            </w:r>
            <w:r>
              <w:t xml:space="preserve"> </w:t>
            </w:r>
            <w:r>
              <w:t xml:space="preserve">“lembrar-me”</w:t>
            </w:r>
            <w:r>
              <w:t xml:space="preserve">? Implicação de segurança?}}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68" w:name="uc-02-criar-encomenda"/>
    <w:p>
      <w:pPr>
        <w:pStyle w:val="Heading3"/>
      </w:pPr>
      <w:r>
        <w:t xml:space="preserve">UC-02 — {{Criar encomenda}}</w:t>
      </w:r>
    </w:p>
    <w:p>
      <w:pPr>
        <w:pStyle w:val="FirstParagraph"/>
      </w:pPr>
      <w:r>
        <w:t xml:space="preserve">{{Repetir a estrutura completa}}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Xc521e57ab419fd3347958a1405b37b342874545"/>
    <w:p>
      <w:pPr>
        <w:pStyle w:val="Heading2"/>
      </w:pPr>
      <w:r>
        <w:t xml:space="preserve">5. Casos de uso ao nível de sistema (opcional)</w:t>
      </w:r>
    </w:p>
    <w:p>
      <w:pPr>
        <w:pStyle w:val="FirstParagraph"/>
      </w:pPr>
      <w:r>
        <w:t xml:space="preserve">Para casos de uso de mais baixo nível (sub-funções), pode usar-se o formato resumido:</w:t>
      </w:r>
    </w:p>
    <w:bookmarkStart w:id="70" w:name="uc-06-validar-stock-formato-breve"/>
    <w:p>
      <w:pPr>
        <w:pStyle w:val="Heading3"/>
      </w:pPr>
      <w:r>
        <w:t xml:space="preserve">UC-06 — Validar stock</w:t>
      </w:r>
      <w:r>
        <w:t xml:space="preserve"> </w:t>
      </w:r>
      <w:r>
        <w:rPr>
          <w:i/>
          <w:iCs/>
        </w:rPr>
        <w:t xml:space="preserve">(formato breve)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Sistema (incluído por UC-02)</w:t>
      </w:r>
      <w:r>
        <w:t xml:space="preserve"> </w:t>
      </w:r>
      <w:r>
        <w:rPr>
          <w:b/>
          <w:bCs/>
        </w:rPr>
        <w:t xml:space="preserve">Fluxo:</w:t>
      </w:r>
      <w:r>
        <w:t xml:space="preserve"> </w:t>
      </w:r>
      <w:r>
        <w:t xml:space="preserve">O sistema consulta a disponibilidade de cada linha da encomenda no serviço de inventário; se todas as linhas têm stock, devolve OK; caso contrário devolve a lista de linhas insuficientes.</w:t>
      </w:r>
      <w:r>
        <w:t xml:space="preserve"> </w:t>
      </w:r>
      <w:r>
        <w:rPr>
          <w:b/>
          <w:bCs/>
        </w:rPr>
        <w:t xml:space="preserve">Exceção:</w:t>
      </w:r>
      <w:r>
        <w:t xml:space="preserve"> </w:t>
      </w:r>
      <w:r>
        <w:t xml:space="preserve">Serviço de inventário indisponível → assume indisponível e sinaliza para revisão manual (RN-11).</w:t>
      </w:r>
    </w:p>
    <w:bookmarkEnd w:id="70"/>
    <w:bookmarkEnd w:id="71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51" Target="media/rId51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Uso — {{PROJETO}}</dc:title>
  <dc:creator/>
  <dc:language>pt-PT</dc:language>
  <cp:keywords/>
  <dcterms:created xsi:type="dcterms:W3CDTF">2026-08-24T10:58:20Z</dcterms:created>
  <dcterms:modified xsi:type="dcterms:W3CDTF">2026-08-24T10:58:20Z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