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0.png" ContentType="image/png"/>
  <Override PartName="/word/media/rId6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 de Arquitetura de Software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{{1.0}}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Arquiteto responsável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Rascunho / 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Revisores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5" w:name="introdução"/>
    <w:p>
      <w:pPr>
        <w:pStyle w:val="Heading2"/>
      </w:pPr>
      <w:r>
        <w:t xml:space="preserve">1. Introdução</w:t>
      </w:r>
    </w:p>
    <w:bookmarkStart w:id="49" w:name="objetivo-do-documento"/>
    <w:p>
      <w:pPr>
        <w:pStyle w:val="Heading3"/>
      </w:pPr>
      <w:r>
        <w:t xml:space="preserve">1.1 Objetivo do documento</w:t>
      </w:r>
    </w:p>
    <w:p>
      <w:pPr>
        <w:pStyle w:val="FirstParagraph"/>
      </w:pPr>
      <w:r>
        <w:t xml:space="preserve">{{Para quem é e o que permite decidir.}}</w:t>
      </w:r>
    </w:p>
    <w:bookmarkEnd w:id="49"/>
    <w:bookmarkStart w:id="50" w:name="âmbito"/>
    <w:p>
      <w:pPr>
        <w:pStyle w:val="Heading3"/>
      </w:pPr>
      <w:r>
        <w:t xml:space="preserve">1.2 Âmbito</w:t>
      </w:r>
    </w:p>
    <w:p>
      <w:pPr>
        <w:pStyle w:val="FirstParagraph"/>
      </w:pPr>
      <w:r>
        <w:t xml:space="preserve">{{Que sistemas cobre e quais ficam de fora.}}</w:t>
      </w:r>
    </w:p>
    <w:bookmarkEnd w:id="50"/>
    <w:bookmarkStart w:id="54" w:name="documentos-relacionados"/>
    <w:p>
      <w:pPr>
        <w:pStyle w:val="Heading3"/>
      </w:pPr>
      <w:r>
        <w:t xml:space="preserve">1.3 Documentos relacionados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Visão de Produto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Requisitos Não Funcionais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ADRs</w:t>
        </w:r>
      </w:hyperlink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objetivos-e-restrições-arquiteturais"/>
    <w:p>
      <w:pPr>
        <w:pStyle w:val="Heading2"/>
      </w:pPr>
      <w:r>
        <w:t xml:space="preserve">2. Objetivos e restrições arquiteturais</w:t>
      </w:r>
    </w:p>
    <w:bookmarkStart w:id="56" w:name="atributos-de-qualidade-priorizados"/>
    <w:p>
      <w:pPr>
        <w:pStyle w:val="Heading3"/>
      </w:pPr>
      <w:r>
        <w:t xml:space="preserve">2.1 Atributos de qualidade priorizados</w:t>
      </w:r>
    </w:p>
    <w:p>
      <w:pPr>
        <w:pStyle w:val="BlockText"/>
      </w:pPr>
      <w:r>
        <w:t xml:space="preserve">A arquitetura é a materialização destas prioridades. Ordena-as — não podem ser todas primeiro.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Cenário concreto</w:t>
            </w:r>
          </w:p>
        </w:tc>
        <w:tc>
          <w:tcPr/>
          <w:p>
            <w:pPr>
              <w:pStyle w:val="Compact"/>
            </w:pPr>
            <w:r>
              <w:t xml:space="preserve">RNF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{{Disponibilidade}}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{{99,9% mensal; falha de uma AZ não interrompe serviço}}</w:t>
            </w:r>
          </w:p>
        </w:tc>
        <w:tc>
          <w:tcPr/>
          <w:p>
            <w:pPr>
              <w:pStyle w:val="Compact"/>
            </w:pPr>
            <w:r>
              <w:t xml:space="preserve">RNF-07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{{Segurança}}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{{Dados pessoais cifrados; auditoria completa}}</w:t>
            </w:r>
          </w:p>
        </w:tc>
        <w:tc>
          <w:tcPr/>
          <w:p>
            <w:pPr>
              <w:pStyle w:val="Compact"/>
            </w:pPr>
            <w:r>
              <w:t xml:space="preserve">RNF-11…17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{{Desempenho}}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{{p95 ≤ 300 ms a 500 rps}}</w:t>
            </w:r>
          </w:p>
        </w:tc>
        <w:tc>
          <w:tcPr/>
          <w:p>
            <w:pPr>
              <w:pStyle w:val="Compact"/>
            </w:pPr>
            <w:r>
              <w:t xml:space="preserve">RNF-01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{{Manutenibilidade}}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{{Nova equipa produtiva em 2 semanas}}</w:t>
            </w:r>
          </w:p>
        </w:tc>
        <w:tc>
          <w:tcPr/>
          <w:p>
            <w:pPr>
              <w:pStyle w:val="Compact"/>
            </w:pPr>
            <w:r>
              <w:t xml:space="preserve">RNF-33</w:t>
            </w:r>
          </w:p>
        </w:tc>
      </w:tr>
    </w:tbl>
    <w:bookmarkEnd w:id="56"/>
    <w:bookmarkStart w:id="57" w:name="restrições"/>
    <w:p>
      <w:pPr>
        <w:pStyle w:val="Heading3"/>
      </w:pPr>
      <w:r>
        <w:t xml:space="preserve">2.2 Restrições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Negociável?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{{Tem de correr em {{cloud X}}}}</w:t>
            </w:r>
          </w:p>
        </w:tc>
        <w:tc>
          <w:tcPr/>
          <w:p>
            <w:pPr>
              <w:pStyle w:val="Compact"/>
            </w:pPr>
            <w:r>
              <w:t xml:space="preserve">{{Contrato corporativo}}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{{Stack {{linguagem}} — competências da equipa}}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Parcialmente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Organizacional</w:t>
            </w:r>
          </w:p>
        </w:tc>
        <w:tc>
          <w:tcPr/>
          <w:p>
            <w:pPr>
              <w:pStyle w:val="Compact"/>
            </w:pPr>
            <w:r>
              <w:t xml:space="preserve">{{Equipa de 5 pessoas}}</w:t>
            </w:r>
          </w:p>
        </w:tc>
        <w:tc>
          <w:tcPr/>
          <w:p>
            <w:pPr>
              <w:pStyle w:val="Compact"/>
            </w:pPr>
            <w:r>
              <w:t xml:space="preserve">{{Orçamento}}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{{Dados residem na UE}}</w:t>
            </w:r>
          </w:p>
        </w:tc>
        <w:tc>
          <w:tcPr/>
          <w:p>
            <w:pPr>
              <w:pStyle w:val="Compact"/>
            </w:pPr>
            <w:r>
              <w:t xml:space="preserve">{{RGPD}}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</w:t>
            </w:r>
          </w:p>
        </w:tc>
        <w:tc>
          <w:tcPr/>
          <w:p>
            <w:pPr>
              <w:pStyle w:val="Compact"/>
            </w:pPr>
            <w:r>
              <w:t xml:space="preserve">{{GA até {{data}}}}</w:t>
            </w:r>
          </w:p>
        </w:tc>
        <w:tc>
          <w:tcPr/>
          <w:p>
            <w:pPr>
              <w:pStyle w:val="Compact"/>
            </w:pPr>
            <w:r>
              <w:t xml:space="preserve">{{Compromisso comercial}}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</w:tbl>
    <w:bookmarkEnd w:id="57"/>
    <w:bookmarkStart w:id="58" w:name="princípios-arquiteturais"/>
    <w:p>
      <w:pPr>
        <w:pStyle w:val="Heading3"/>
      </w:pPr>
      <w:r>
        <w:t xml:space="preserve">2.3 Princípios arquiteturais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Implicação prática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{{API-first}}</w:t>
            </w:r>
          </w:p>
        </w:tc>
        <w:tc>
          <w:tcPr/>
          <w:p>
            <w:pPr>
              <w:pStyle w:val="Compact"/>
            </w:pPr>
            <w:r>
              <w:t xml:space="preserve">{{Contrato OpenAPI antes da implementação}}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{{Sem estado nos serviços}}</w:t>
            </w:r>
          </w:p>
        </w:tc>
        <w:tc>
          <w:tcPr/>
          <w:p>
            <w:pPr>
              <w:pStyle w:val="Compact"/>
            </w:pPr>
            <w:r>
              <w:t xml:space="preserve">{{Sessão em Redis, ficheiros em object storage}}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{{Falhar rápido e visivelmente}}</w:t>
            </w:r>
          </w:p>
        </w:tc>
        <w:tc>
          <w:tcPr/>
          <w:p>
            <w:pPr>
              <w:pStyle w:val="Compact"/>
            </w:pPr>
            <w:r>
              <w:t xml:space="preserve">{{Timeouts explícitos; sem retry infinito}}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{{Segurança por omissão}}</w:t>
            </w:r>
          </w:p>
        </w:tc>
        <w:tc>
          <w:tcPr/>
          <w:p>
            <w:pPr>
              <w:pStyle w:val="Compact"/>
            </w:pPr>
            <w:r>
              <w:t xml:space="preserve">{{Negar acesso salvo autorização explícita}}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{{Simplicidade primeiro}}</w:t>
            </w:r>
          </w:p>
        </w:tc>
        <w:tc>
          <w:tcPr/>
          <w:p>
            <w:pPr>
              <w:pStyle w:val="Compact"/>
            </w:pPr>
            <w:r>
              <w:t xml:space="preserve">{{Monólito modular até a evidência justificar dividir}}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vista-de-contexto-c4-nível-1"/>
    <w:p>
      <w:pPr>
        <w:pStyle w:val="Heading2"/>
      </w:pPr>
      <w:r>
        <w:t xml:space="preserve">3. Vista de contexto (C4 — Nível 1)</w:t>
      </w:r>
    </w:p>
    <w:p>
      <w:pPr>
        <w:pStyle w:val="FirstParagraph"/>
      </w:pPr>
      <w:r>
        <w:drawing>
          <wp:inline>
            <wp:extent cx="6191999" cy="35327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532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3"/>
    <w:bookmarkStart w:id="68" w:name="vista-de-contentores-c4-nível-2"/>
    <w:p>
      <w:pPr>
        <w:pStyle w:val="Heading2"/>
      </w:pPr>
      <w:r>
        <w:t xml:space="preserve">4. Vista de contentores (C4 — Nível 2)</w:t>
      </w:r>
    </w:p>
    <w:p>
      <w:pPr>
        <w:pStyle w:val="FirstParagraph"/>
      </w:pPr>
      <w:r>
        <w:drawing>
          <wp:inline>
            <wp:extent cx="6191999" cy="57982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-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79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inventário-de-contentores"/>
    <w:p>
      <w:pPr>
        <w:pStyle w:val="Heading3"/>
      </w:pPr>
      <w:r>
        <w:t xml:space="preserve">Inventário de contentores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Contentor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SPA</w:t>
            </w:r>
          </w:p>
        </w:tc>
        <w:tc>
          <w:tcPr/>
          <w:p>
            <w:pPr>
              <w:pStyle w:val="Compact"/>
            </w:pPr>
            <w:r>
              <w:t xml:space="preserve">{{React {{versão}}}}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Sem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Regras de negócio, REST</w:t>
            </w:r>
          </w:p>
        </w:tc>
        <w:tc>
          <w:tcPr/>
          <w:p>
            <w:pPr>
              <w:pStyle w:val="Compact"/>
            </w:pPr>
            <w:r>
              <w:t xml:space="preserve">{{3–10 pods}}</w:t>
            </w:r>
          </w:p>
        </w:tc>
        <w:tc>
          <w:tcPr/>
          <w:p>
            <w:pPr>
              <w:pStyle w:val="Compact"/>
            </w:pPr>
            <w:r>
              <w:t xml:space="preserve">Sem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Eventos, e-mail, relatórios</w:t>
            </w:r>
          </w:p>
        </w:tc>
        <w:tc>
          <w:tcPr/>
          <w:p>
            <w:pPr>
              <w:pStyle w:val="Compact"/>
            </w:pPr>
            <w:r>
              <w:t xml:space="preserve">{{2–6 pods}}</w:t>
            </w:r>
          </w:p>
        </w:tc>
        <w:tc>
          <w:tcPr/>
          <w:p>
            <w:pPr>
              <w:pStyle w:val="Compact"/>
            </w:pPr>
            <w:r>
              <w:t xml:space="preserve">Sem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{{versão}}</w:t>
            </w:r>
          </w:p>
        </w:tc>
        <w:tc>
          <w:tcPr/>
          <w:p>
            <w:pPr>
              <w:pStyle w:val="Compact"/>
            </w:pPr>
            <w:r>
              <w:t xml:space="preserve">Persistência transacional</w:t>
            </w:r>
          </w:p>
        </w:tc>
        <w:tc>
          <w:tcPr/>
          <w:p>
            <w:pPr>
              <w:pStyle w:val="Compact"/>
            </w:pPr>
            <w:r>
              <w:t xml:space="preserve">{{1 primária + 1 réplica}}</w:t>
            </w:r>
          </w:p>
        </w:tc>
        <w:tc>
          <w:tcPr/>
          <w:p>
            <w:pPr>
              <w:pStyle w:val="Compact"/>
            </w:pPr>
            <w:r>
              <w:t xml:space="preserve">Com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{{versão}}</w:t>
            </w:r>
          </w:p>
        </w:tc>
        <w:tc>
          <w:tcPr/>
          <w:p>
            <w:pPr>
              <w:pStyle w:val="Compact"/>
            </w:pPr>
            <w:r>
              <w:t xml:space="preserve">Sessões, cache</w:t>
            </w:r>
          </w:p>
        </w:tc>
        <w:tc>
          <w:tcPr/>
          <w:p>
            <w:pPr>
              <w:pStyle w:val="Compact"/>
            </w:pPr>
            <w:r>
              <w:t xml:space="preserve">{{cluster 3 nós}}</w:t>
            </w:r>
          </w:p>
        </w:tc>
        <w:tc>
          <w:tcPr/>
          <w:p>
            <w:pPr>
              <w:pStyle w:val="Compact"/>
            </w:pPr>
            <w:r>
              <w:t xml:space="preserve">Efémero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X8c3c7924450934559c509b073a21530d3a085b9"/>
    <w:p>
      <w:pPr>
        <w:pStyle w:val="Heading2"/>
      </w:pPr>
      <w:r>
        <w:t xml:space="preserve">5. Vista de componentes (C4 — Nível 3) — contentor</w:t>
      </w:r>
      <w:r>
        <w:t xml:space="preserve"> </w:t>
      </w:r>
      <w:r>
        <w:rPr>
          <w:rStyle w:val="VerbatimChar"/>
        </w:rPr>
        <w:t xml:space="preserve">API</w:t>
      </w:r>
    </w:p>
    <w:p>
      <w:pPr>
        <w:pStyle w:val="FirstParagraph"/>
      </w:pPr>
      <w:r>
        <w:drawing>
          <wp:inline>
            <wp:extent cx="6191999" cy="353124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out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531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 de dependência:</w:t>
      </w:r>
      <w:r>
        <w:t xml:space="preserve"> </w:t>
      </w:r>
      <w:r>
        <w:t xml:space="preserve">as setas apontam sempre para dentro. O domínio não conhece infraestrutura.</w:t>
      </w:r>
    </w:p>
    <w:p>
      <w:r>
        <w:pict>
          <v:rect style="width:0;height:1.5pt" o:hralign="center" o:hrstd="t" o:hr="t"/>
        </w:pict>
      </w:r>
    </w:p>
    <w:bookmarkEnd w:id="72"/>
    <w:bookmarkStart w:id="74" w:name="vista-de-dados"/>
    <w:p>
      <w:pPr>
        <w:pStyle w:val="Heading2"/>
      </w:pPr>
      <w:r>
        <w:t xml:space="preserve">6. Vista de dados</w:t>
      </w:r>
    </w:p>
    <w:p>
      <w:pPr>
        <w:pStyle w:val="BlockText"/>
      </w:pPr>
      <w:r>
        <w:t xml:space="preserve">Detalhe em</w:t>
      </w:r>
      <w:r>
        <w:t xml:space="preserve"> </w:t>
      </w:r>
      <w:hyperlink r:id="rId73">
        <w:r>
          <w:rPr>
            <w:rStyle w:val="Hyperlink"/>
          </w:rPr>
          <w:t xml:space="preserve">Modelo de Dados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 principal</w:t>
            </w:r>
          </w:p>
        </w:tc>
        <w:tc>
          <w:tcPr/>
          <w:p>
            <w:pPr>
              <w:pStyle w:val="Compact"/>
            </w:pPr>
            <w:r>
              <w:t xml:space="preserve">{{PostgreSQL 16}}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Justificação</w:t>
            </w:r>
          </w:p>
        </w:tc>
        <w:tc>
          <w:tcPr/>
          <w:p>
            <w:pPr>
              <w:pStyle w:val="Compact"/>
            </w:pPr>
            <w:r>
              <w:t xml:space="preserve">{{Transações ACID necessárias para invariantes de encomenda}}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Estratégia de migrações</w:t>
            </w:r>
          </w:p>
        </w:tc>
        <w:tc>
          <w:tcPr/>
          <w:p>
            <w:pPr>
              <w:pStyle w:val="Compact"/>
            </w:pPr>
            <w:r>
              <w:t xml:space="preserve">{{Migrações versionadas, forward-only, compatíveis com deploy contínuo}}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</w:t>
            </w:r>
          </w:p>
        </w:tc>
        <w:tc>
          <w:tcPr/>
          <w:p>
            <w:pPr>
              <w:pStyle w:val="Compact"/>
            </w:pPr>
            <w:r>
              <w:t xml:space="preserve">{{Coluna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+ RLS}}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{{Encomendas 10 anos (fiscal); logs 90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Consistência</w:t>
            </w:r>
          </w:p>
        </w:tc>
        <w:tc>
          <w:tcPr/>
          <w:p>
            <w:pPr>
              <w:pStyle w:val="Compact"/>
            </w:pPr>
            <w:r>
              <w:t xml:space="preserve">{{Forte dentro do agregado; eventual entre contextos}}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6" w:name="vista-de-implantação"/>
    <w:p>
      <w:pPr>
        <w:pStyle w:val="Heading2"/>
      </w:pPr>
      <w:r>
        <w:t xml:space="preserve">7. Vista de implantação</w:t>
      </w:r>
    </w:p>
    <w:p>
      <w:pPr>
        <w:pStyle w:val="BlockText"/>
      </w:pPr>
      <w:r>
        <w:t xml:space="preserve">Ver diagrama em</w:t>
      </w:r>
      <w:r>
        <w:t xml:space="preserve"> </w:t>
      </w:r>
      <w:hyperlink r:id="rId75">
        <w:r>
          <w:rPr>
            <w:rStyle w:val="Hyperlink"/>
          </w:rPr>
          <w:t xml:space="preserve">Guia de Diagramas §4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Acesso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Sintéticos</w:t>
            </w:r>
          </w:p>
        </w:tc>
        <w:tc>
          <w:tcPr/>
          <w:p>
            <w:pPr>
              <w:pStyle w:val="Compact"/>
            </w:pPr>
            <w:r>
              <w:t xml:space="preserve">Programadores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Testes automáticos</w:t>
            </w:r>
          </w:p>
        </w:tc>
        <w:tc>
          <w:tcPr/>
          <w:p>
            <w:pPr>
              <w:pStyle w:val="Compact"/>
            </w:pPr>
            <w:r>
              <w:t xml:space="preserve">Sintéticos</w:t>
            </w:r>
          </w:p>
        </w:tc>
        <w:tc>
          <w:tcPr/>
          <w:p>
            <w:pPr>
              <w:pStyle w:val="Compact"/>
            </w:pPr>
            <w:r>
              <w:t xml:space="preserve">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Validação pré-produção</w:t>
            </w:r>
          </w:p>
        </w:tc>
        <w:tc>
          <w:tcPr/>
          <w:p>
            <w:pPr>
              <w:pStyle w:val="Compact"/>
            </w:pPr>
            <w:r>
              <w:t xml:space="preserve">Anonimizados</w:t>
            </w:r>
          </w:p>
        </w:tc>
        <w:tc>
          <w:tcPr/>
          <w:p>
            <w:pPr>
              <w:pStyle w:val="Compact"/>
            </w:pPr>
            <w:r>
              <w:t xml:space="preserve">Equipa + 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Serviço real</w:t>
            </w:r>
          </w:p>
        </w:tc>
        <w:tc>
          <w:tcPr/>
          <w:p>
            <w:pPr>
              <w:pStyle w:val="Compact"/>
            </w:pPr>
            <w:r>
              <w:t xml:space="preserve">Reais</w:t>
            </w:r>
          </w:p>
        </w:tc>
        <w:tc>
          <w:tcPr/>
          <w:p>
            <w:pPr>
              <w:pStyle w:val="Compact"/>
            </w:pPr>
            <w:r>
              <w:t xml:space="preserve">Restrito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preocupações-transversais"/>
    <w:p>
      <w:pPr>
        <w:pStyle w:val="Heading2"/>
      </w:pPr>
      <w:r>
        <w:t xml:space="preserve">8. Preocupações transversais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Preocupação</w:t>
            </w:r>
          </w:p>
        </w:tc>
        <w:tc>
          <w:tcPr/>
          <w:p>
            <w:pPr>
              <w:pStyle w:val="Compact"/>
            </w:pPr>
            <w:r>
              <w:t xml:space="preserve">Abordagem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Autenticação</w:t>
            </w:r>
          </w:p>
        </w:tc>
        <w:tc>
          <w:tcPr/>
          <w:p>
            <w:pPr>
              <w:pStyle w:val="Compact"/>
            </w:pPr>
            <w:r>
              <w:t xml:space="preserve">{{OIDC com {{IdP}}; tokens JWT de 15 min + refresh}}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Autorização</w:t>
            </w:r>
          </w:p>
        </w:tc>
        <w:tc>
          <w:tcPr/>
          <w:p>
            <w:pPr>
              <w:pStyle w:val="Compact"/>
            </w:pPr>
            <w:r>
              <w:t xml:space="preserve">{{RBAC verificado na camada de aplicação; negação por omissão}}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Registo (logging)</w:t>
            </w:r>
          </w:p>
        </w:tc>
        <w:tc>
          <w:tcPr/>
          <w:p>
            <w:pPr>
              <w:pStyle w:val="Compact"/>
            </w:pPr>
            <w:r>
              <w:t xml:space="preserve">{{JSON estruturado;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; nunca dados pessoais em claro}}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Tratamento de erros</w:t>
            </w:r>
          </w:p>
        </w:tc>
        <w:tc>
          <w:tcPr/>
          <w:p>
            <w:pPr>
              <w:pStyle w:val="Compact"/>
            </w:pPr>
            <w:r>
              <w:t xml:space="preserve">{{Problem Details RFC 9457; erros de domínio distintos de erros técnicos}}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Idempotência</w:t>
            </w:r>
          </w:p>
        </w:tc>
        <w:tc>
          <w:tcPr/>
          <w:p>
            <w:pPr>
              <w:pStyle w:val="Compact"/>
            </w:pPr>
            <w:r>
              <w:t xml:space="preserve">{{Cabeçalho</w:t>
            </w:r>
            <w:r>
              <w:t xml:space="preserve"> </w:t>
            </w: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em POST de escrita crítica}}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Resiliência</w:t>
            </w:r>
          </w:p>
        </w:tc>
        <w:tc>
          <w:tcPr/>
          <w:p>
            <w:pPr>
              <w:pStyle w:val="Compact"/>
            </w:pPr>
            <w:r>
              <w:t xml:space="preserve">{{Timeouts explícitos, retry com backoff + jitter, circuit breaker por dependência}}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/>
          <w:p>
            <w:pPr>
              <w:pStyle w:val="Compact"/>
            </w:pPr>
            <w:r>
              <w:t xml:space="preserve">{{Variáveis de ambiente; segredos em {{cofre}}; nada em repositório}}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Versionamento de API</w:t>
            </w:r>
          </w:p>
        </w:tc>
        <w:tc>
          <w:tcPr/>
          <w:p>
            <w:pPr>
              <w:pStyle w:val="Compact"/>
            </w:pPr>
            <w:r>
              <w:t xml:space="preserve">{{Prefixo</w:t>
            </w:r>
            <w:r>
              <w:t xml:space="preserve"> </w:t>
            </w:r>
            <w:r>
              <w:rPr>
                <w:rStyle w:val="VerbatimChar"/>
              </w:rPr>
              <w:t xml:space="preserve">/v1</w:t>
            </w:r>
            <w:r>
              <w:t xml:space="preserve">; alterações compatíveis sem nova versão}}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{{Tabela append-only para ações sensíveis}}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Internacionalização</w:t>
            </w:r>
          </w:p>
        </w:tc>
        <w:tc>
          <w:tcPr/>
          <w:p>
            <w:pPr>
              <w:pStyle w:val="Compact"/>
            </w:pPr>
            <w:r>
              <w:t xml:space="preserve">{{Chaves de tradução; UTC na persistência}}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9" w:name="decisões-arquiteturais"/>
    <w:p>
      <w:pPr>
        <w:pStyle w:val="Heading2"/>
      </w:pPr>
      <w:r>
        <w:t xml:space="preserve">9. Decisões arquiteturais</w:t>
      </w:r>
    </w:p>
    <w:p>
      <w:pPr>
        <w:pStyle w:val="BlockText"/>
      </w:pPr>
      <w:r>
        <w:t xml:space="preserve">Registo completo em</w:t>
      </w:r>
      <w:r>
        <w:t xml:space="preserve"> </w:t>
      </w:r>
      <w:hyperlink r:id="rId53">
        <w:r>
          <w:rPr>
            <w:rStyle w:val="VerbatimChar"/>
          </w:rPr>
          <w:t xml:space="preserve">adr/</w:t>
        </w:r>
      </w:hyperlink>
      <w:r>
        <w:t xml:space="preserve">. Ver</w:t>
      </w:r>
      <w:r>
        <w:t xml:space="preserve"> </w:t>
      </w:r>
      <w:hyperlink r:id="rId78">
        <w:r>
          <w:rPr>
            <w:rStyle w:val="Hyperlink"/>
          </w:rPr>
          <w:t xml:space="preserve">modelo de ADR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ADR-001</w:t>
            </w:r>
          </w:p>
        </w:tc>
        <w:tc>
          <w:tcPr/>
          <w:p>
            <w:pPr>
              <w:pStyle w:val="Compact"/>
            </w:pPr>
            <w:r>
              <w:t xml:space="preserve">{{Monólito modular em vez de microsserviços}}</w:t>
            </w:r>
          </w:p>
        </w:tc>
        <w:tc>
          <w:tcPr/>
          <w:p>
            <w:pPr>
              <w:pStyle w:val="Compact"/>
            </w:pPr>
            <w:r>
              <w:t xml:space="preserve">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ADR-002</w:t>
            </w:r>
          </w:p>
        </w:tc>
        <w:tc>
          <w:tcPr/>
          <w:p>
            <w:pPr>
              <w:pStyle w:val="Compact"/>
            </w:pPr>
            <w:r>
              <w:t xml:space="preserve">{{PostgreSQL como armazenamento principal}}</w:t>
            </w:r>
          </w:p>
        </w:tc>
        <w:tc>
          <w:tcPr/>
          <w:p>
            <w:pPr>
              <w:pStyle w:val="Compact"/>
            </w:pPr>
            <w:r>
              <w:t xml:space="preserve">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ADR-003</w:t>
            </w:r>
          </w:p>
        </w:tc>
        <w:tc>
          <w:tcPr/>
          <w:p>
            <w:pPr>
              <w:pStyle w:val="Compact"/>
            </w:pPr>
            <w:r>
              <w:t xml:space="preserve">{{Consistência eventual entre Vendas e Faturação}}</w:t>
            </w:r>
          </w:p>
        </w:tc>
        <w:tc>
          <w:tcPr/>
          <w:p>
            <w:pPr>
              <w:pStyle w:val="Compact"/>
            </w:pPr>
            <w:r>
              <w:t xml:space="preserve">Aceite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riscos-técnicos-e-dívida-conhecida"/>
    <w:p>
      <w:pPr>
        <w:pStyle w:val="Heading2"/>
      </w:pPr>
      <w:r>
        <w:t xml:space="preserve">10. Riscos técnicos e dívida conhecida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 / Dívida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</w:t>
            </w:r>
          </w:p>
        </w:tc>
        <w:tc>
          <w:tcPr/>
          <w:p>
            <w:pPr>
              <w:pStyle w:val="Compact"/>
            </w:pPr>
            <w:r>
              <w:t xml:space="preserve">{{Acoplamento síncrono ao ERP}}</w:t>
            </w:r>
          </w:p>
        </w:tc>
        <w:tc>
          <w:tcPr/>
          <w:p>
            <w:pPr>
              <w:pStyle w:val="Compact"/>
            </w:pPr>
            <w:r>
              <w:t xml:space="preserve">Alto — indisponibilidade propaga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{{Cache + modo degradado}}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RT-02</w:t>
            </w:r>
          </w:p>
        </w:tc>
        <w:tc>
          <w:tcPr/>
          <w:p>
            <w:pPr>
              <w:pStyle w:val="Compact"/>
            </w:pPr>
            <w:r>
              <w:t xml:space="preserve">{{Sem testes de carga automatizados}}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{{Adicionar ao CI no sprint {{n}}}}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evolução-prevista"/>
    <w:p>
      <w:pPr>
        <w:pStyle w:val="Heading2"/>
      </w:pPr>
      <w:r>
        <w:t xml:space="preserve">11. Evolução prevista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Mudança esperada</w:t>
            </w:r>
          </w:p>
        </w:tc>
        <w:tc>
          <w:tcPr/>
          <w:p>
            <w:pPr>
              <w:pStyle w:val="Compact"/>
            </w:pPr>
            <w:r>
              <w:t xml:space="preserve">Preparação atual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 meses}}</w:t>
            </w:r>
          </w:p>
        </w:tc>
        <w:tc>
          <w:tcPr/>
          <w:p>
            <w:pPr>
              <w:pStyle w:val="Compact"/>
            </w:pPr>
            <w:r>
              <w:t xml:space="preserve">{{Multi-região}}</w:t>
            </w:r>
          </w:p>
        </w:tc>
        <w:tc>
          <w:tcPr/>
          <w:p>
            <w:pPr>
              <w:pStyle w:val="Compact"/>
            </w:pPr>
            <w:r>
              <w:t xml:space="preserve">{{Sem estado; sem afinidade de sessão}}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{{12 meses}}</w:t>
            </w:r>
          </w:p>
        </w:tc>
        <w:tc>
          <w:tcPr/>
          <w:p>
            <w:pPr>
              <w:pStyle w:val="Compact"/>
            </w:pPr>
            <w:r>
              <w:t xml:space="preserve">{{Extrair Inventário para serviço próprio}}</w:t>
            </w:r>
          </w:p>
        </w:tc>
        <w:tc>
          <w:tcPr/>
          <w:p>
            <w:pPr>
              <w:pStyle w:val="Compact"/>
            </w:pPr>
            <w:r>
              <w:t xml:space="preserve">{{Fronteiras de módulo já isoladas}}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3" w:name="glossário-técnico"/>
    <w:p>
      <w:pPr>
        <w:pStyle w:val="Heading2"/>
      </w:pPr>
      <w:r>
        <w:t xml:space="preserve">12. Glossário técnico</w:t>
      </w:r>
    </w:p>
    <w:p>
      <w:pPr>
        <w:pStyle w:val="FirstParagraph"/>
      </w:pPr>
      <w:r>
        <w:t xml:space="preserve">{{Termos específicos desta arquitetura. Domínio →</w:t>
      </w:r>
      <w:r>
        <w:t xml:space="preserve"> </w:t>
      </w:r>
      <w:hyperlink r:id="rId82">
        <w:r>
          <w:rPr>
            <w:rStyle w:val="Hyperlink"/>
          </w:rPr>
          <w:t xml:space="preserve">Glossário</w:t>
        </w:r>
      </w:hyperlink>
      <w:r>
        <w:t xml:space="preserve">}}</w:t>
      </w:r>
    </w:p>
    <w:bookmarkEnd w:id="8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hyperlink" Id="rId51" Target="../00-produto/01-visao-produto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82" Target="../01-requisitos/06-glossario.md" TargetMode="External" /><Relationship Type="http://schemas.openxmlformats.org/officeDocument/2006/relationships/hyperlink" Id="rId75" Target="../02-analise/02-diagrama-casos-uso.md#4-implanta&#231;&#227;o-deployment" TargetMode="External" /><Relationship Type="http://schemas.openxmlformats.org/officeDocument/2006/relationships/hyperlink" Id="rId78" Target="02-adr-template.md" TargetMode="External" /><Relationship Type="http://schemas.openxmlformats.org/officeDocument/2006/relationships/hyperlink" Id="rId73" Target="03-modelo-dados.md" TargetMode="External" /><Relationship Type="http://schemas.openxmlformats.org/officeDocument/2006/relationships/hyperlink" Id="rId53" Target="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00-produto/01-visao-produto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82" Target="../01-requisitos/06-glossario.md" TargetMode="External" /><Relationship Type="http://schemas.openxmlformats.org/officeDocument/2006/relationships/hyperlink" Id="rId75" Target="../02-analise/02-diagrama-casos-uso.md#4-implanta&#231;&#227;o-deployment" TargetMode="External" /><Relationship Type="http://schemas.openxmlformats.org/officeDocument/2006/relationships/hyperlink" Id="rId78" Target="02-adr-template.md" TargetMode="External" /><Relationship Type="http://schemas.openxmlformats.org/officeDocument/2006/relationships/hyperlink" Id="rId73" Target="03-modelo-dados.md" TargetMode="External" /><Relationship Type="http://schemas.openxmlformats.org/officeDocument/2006/relationships/hyperlink" Id="rId53" Target="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Arquitetura de Software — {{PROJETO}}</dc:title>
  <dc:creator/>
  <dc:language>pt-PT</dc:language>
  <cp:keywords/>
  <dcterms:created xsi:type="dcterms:W3CDTF">2026-08-24T10:58:30Z</dcterms:created>
  <dcterms:modified xsi:type="dcterms:W3CDTF">2026-08-24T10:58:30Z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