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Modelo de Dados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Motor:</w:t>
      </w:r>
      <w:r>
        <w:t xml:space="preserve"> </w:t>
      </w:r>
      <w:r>
        <w:t xml:space="preserve">{{PostgreSQL 16}} ·</w:t>
      </w:r>
      <w:r>
        <w:t xml:space="preserve"> </w:t>
      </w:r>
      <w:r>
        <w:rPr>
          <w:b/>
          <w:bCs/>
        </w:rPr>
        <w:t xml:space="preserve">Versão do esquema:</w:t>
      </w:r>
      <w:r>
        <w:t xml:space="preserve"> </w:t>
      </w:r>
      <w:r>
        <w:t xml:space="preserve">{{v{{n}}}}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</w:t>
      </w:r>
    </w:p>
    <w:p>
      <w:r>
        <w:pict>
          <v:rect style="width:0;height:1.5pt" o:hralign="center" o:hrstd="t" o:hr="t"/>
        </w:pict>
      </w:r>
    </w:p>
    <w:bookmarkStart w:id="52" w:name="diagrama-entidade-relação"/>
    <w:p>
      <w:pPr>
        <w:pStyle w:val="Heading2"/>
      </w:pPr>
      <w:r>
        <w:t xml:space="preserve">1. Diagrama Entidade-Relação</w:t>
      </w:r>
    </w:p>
    <w:p>
      <w:pPr>
        <w:pStyle w:val="FirstParagraph"/>
      </w:pPr>
      <w:r>
        <w:drawing>
          <wp:inline>
            <wp:extent cx="6191999" cy="702715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ou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7027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2"/>
    <w:bookmarkStart w:id="54" w:name="dicionário-de-dados"/>
    <w:p>
      <w:pPr>
        <w:pStyle w:val="Heading2"/>
      </w:pPr>
      <w:r>
        <w:t xml:space="preserve">2. Dicionário de dados</w:t>
      </w:r>
    </w:p>
    <w:bookmarkStart w:id="53" w:name="tabela-encomendas"/>
    <w:p>
      <w:pPr>
        <w:pStyle w:val="Heading3"/>
      </w:pPr>
      <w:r>
        <w:t xml:space="preserve">Tabela</w:t>
      </w:r>
      <w:r>
        <w:t xml:space="preserve"> </w:t>
      </w:r>
      <w:r>
        <w:rPr>
          <w:rStyle w:val="VerbatimChar"/>
        </w:rPr>
        <w:t xml:space="preserve">encomendas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Omissão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Regras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Chave primária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Organização proprietária</w:t>
            </w:r>
          </w:p>
        </w:tc>
        <w:tc>
          <w:tcPr/>
          <w:p>
            <w:pPr>
              <w:pStyle w:val="Compact"/>
            </w:pPr>
            <w:r>
              <w:t xml:space="preserve">RLS 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clientes.id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 DELETE RESTRICT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Identificador de negócio</w:t>
            </w:r>
          </w:p>
        </w:tc>
        <w:tc>
          <w:tcPr/>
          <w:p>
            <w:pPr>
              <w:pStyle w:val="Compact"/>
            </w:pPr>
            <w:r>
              <w:t xml:space="preserve">Único por tenant; formato</w:t>
            </w:r>
            <w:r>
              <w:t xml:space="preserve"> </w:t>
            </w:r>
            <w:r>
              <w:rPr>
                <w:rStyle w:val="VerbatimChar"/>
              </w:rPr>
              <w:t xml:space="preserve">ENC-AAAA-nnnnn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'RASCUNHO'</w:t>
            </w:r>
          </w:p>
        </w:tc>
        <w:tc>
          <w:tcPr/>
          <w:p>
            <w:pPr>
              <w:pStyle w:val="Compact"/>
            </w:pPr>
            <w:r>
              <w:t xml:space="preserve">Estado do ciclo de vida</w:t>
            </w:r>
          </w:p>
        </w:tc>
        <w:tc>
          <w:tcPr/>
          <w:p>
            <w:pPr>
              <w:pStyle w:val="Compact"/>
            </w:pPr>
            <w:r>
              <w:t xml:space="preserve">CHECK na lista de estados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Total em cêntimos</w:t>
            </w:r>
          </w:p>
        </w:tc>
        <w:tc>
          <w:tcPr/>
          <w:p>
            <w:pPr>
              <w:pStyle w:val="Compact"/>
            </w:pPr>
            <w:r>
              <w:t xml:space="preserve">≥ 0; RN-03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moeda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char(3)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'EUR'</w:t>
            </w:r>
          </w:p>
        </w:tc>
        <w:tc>
          <w:tcPr/>
          <w:p>
            <w:pPr>
              <w:pStyle w:val="Compact"/>
            </w:pPr>
            <w:r>
              <w:t xml:space="preserve">ISO 4217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aprovado_por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utilizadores.id</w:t>
            </w:r>
          </w:p>
        </w:tc>
        <w:tc>
          <w:tcPr/>
          <w:p>
            <w:pPr>
              <w:pStyle w:val="Compact"/>
            </w:pPr>
            <w:r>
              <w:t xml:space="preserve">Obrigatório se estado = APROVADA e total &gt; 500000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Bloqueio otimista</w:t>
            </w:r>
          </w:p>
        </w:tc>
        <w:tc>
          <w:tcPr/>
          <w:p>
            <w:pPr>
              <w:pStyle w:val="Compact"/>
            </w:pPr>
            <w:r>
              <w:t xml:space="preserve">Incrementa em cada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criado_em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UTC</w:t>
            </w:r>
          </w:p>
        </w:tc>
        <w:tc>
          <w:tcPr/>
          <w:p>
            <w:pPr>
              <w:pStyle w:val="Compact"/>
            </w:pPr>
            <w:r>
              <w:t xml:space="preserve">Imutável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atualizado_em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UTC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</w:tbl>
    <w:p>
      <w:pPr>
        <w:pStyle w:val="BodyText"/>
      </w:pPr>
      <w:r>
        <w:rPr>
          <w:b/>
          <w:bCs/>
        </w:rPr>
        <w:t xml:space="preserve">Índices</w:t>
      </w:r>
      <w:r>
        <w:t xml:space="preserve"> </w:t>
      </w:r>
      <w:r>
        <w:t xml:space="preserve">| Nome | Colunas | Tipo | Justificação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pk_encomendas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| B-tree único | PK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uq_encomendas_numero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tenant_id, numero</w:t>
      </w:r>
      <w:r>
        <w:t xml:space="preserve"> </w:t>
      </w:r>
      <w:r>
        <w:t xml:space="preserve">| B-tree único | Unicidade de negócio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ix_encomendas_cliente_estado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tenant_id, cliente_id, estado</w:t>
      </w:r>
      <w:r>
        <w:t xml:space="preserve"> </w:t>
      </w:r>
      <w:r>
        <w:t xml:space="preserve">| B-tree | Consulta principal (UC-03)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ix_encomendas_pendentes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tenant_id, criado_em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rPr>
          <w:rStyle w:val="VerbatimChar"/>
        </w:rPr>
        <w:t xml:space="preserve">estado = 'AGUARDA_APROVACAO'</w:t>
      </w:r>
      <w:r>
        <w:t xml:space="preserve"> </w:t>
      </w:r>
      <w:r>
        <w:t xml:space="preserve">| Parcial | Fila de aprovação; índice pequeno |</w:t>
      </w:r>
    </w:p>
    <w:p>
      <w:pPr>
        <w:pStyle w:val="BodyText"/>
      </w:pPr>
      <w:r>
        <w:rPr>
          <w:b/>
          <w:bCs/>
        </w:rPr>
        <w:t xml:space="preserve">Restrições</w:t>
      </w:r>
    </w:p>
    <w:p>
      <w:pPr>
        <w:pStyle w:val="SourceCode"/>
      </w:pPr>
      <w:r>
        <w:rPr>
          <w:rStyle w:val="KeywordTok"/>
        </w:rPr>
        <w:t xml:space="preserve">CHECK</w:t>
      </w:r>
      <w:r>
        <w:rPr>
          <w:rStyle w:val="NormalTok"/>
        </w:rPr>
        <w:t xml:space="preserve"> (total_cents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(estado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'RASCUNHO'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'SUBMETIDA'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'AGUARDA_APROVACAO'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'APROVADA'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'EM_PREPARACAO'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'EXPEDIDA'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'ENTREGUE'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'CANCELADA'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'REJEITADA'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(estado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'APROVADA'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aprovado_em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Xdbec78e1a2e97dfa58ee5f139f07a7670cb494d"/>
    <w:p>
      <w:pPr>
        <w:pStyle w:val="Heading2"/>
      </w:pPr>
      <w:r>
        <w:t xml:space="preserve">3. Classificação de dados (privacidade e segurança)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Tabela.Coluna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  <w:tc>
          <w:tcPr/>
          <w:p>
            <w:pPr>
              <w:pStyle w:val="Compact"/>
            </w:pPr>
            <w:r>
              <w:t xml:space="preserve">Dado pessoal?</w:t>
            </w:r>
          </w:p>
        </w:tc>
        <w:tc>
          <w:tcPr/>
          <w:p>
            <w:pPr>
              <w:pStyle w:val="Compact"/>
            </w:pPr>
            <w:r>
              <w:t xml:space="preserve">Cifra</w:t>
            </w:r>
          </w:p>
        </w:tc>
        <w:tc>
          <w:tcPr/>
          <w:p>
            <w:pPr>
              <w:pStyle w:val="Compact"/>
            </w:pPr>
            <w:r>
              <w:t xml:space="preserve">Retenção</w:t>
            </w:r>
          </w:p>
        </w:tc>
        <w:tc>
          <w:tcPr/>
          <w:p>
            <w:pPr>
              <w:pStyle w:val="Compact"/>
            </w:pPr>
            <w:r>
              <w:t xml:space="preserve">Anonimização em staging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clientes.nome</w:t>
            </w:r>
          </w:p>
        </w:tc>
        <w:tc>
          <w:tcPr/>
          <w:p>
            <w:pPr>
              <w:pStyle w:val="Compact"/>
            </w:pPr>
            <w:r>
              <w:t xml:space="preserve">Confidencial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Em repouso</w:t>
            </w:r>
          </w:p>
        </w:tc>
        <w:tc>
          <w:tcPr/>
          <w:p>
            <w:pPr>
              <w:pStyle w:val="Compact"/>
            </w:pPr>
            <w:r>
              <w:t xml:space="preserve">{{10 anos após fim de relação}}</w:t>
            </w:r>
          </w:p>
        </w:tc>
        <w:tc>
          <w:tcPr/>
          <w:p>
            <w:pPr>
              <w:pStyle w:val="Compact"/>
            </w:pPr>
            <w:r>
              <w:t xml:space="preserve">Substituir por nome fictício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clientes.nif</w:t>
            </w:r>
          </w:p>
        </w:tc>
        <w:tc>
          <w:tcPr/>
          <w:p>
            <w:pPr>
              <w:pStyle w:val="Compact"/>
            </w:pPr>
            <w:r>
              <w:t xml:space="preserve">Confidencial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Em repouso + coluna</w:t>
            </w:r>
          </w:p>
        </w:tc>
        <w:tc>
          <w:tcPr/>
          <w:p>
            <w:pPr>
              <w:pStyle w:val="Compact"/>
            </w:pPr>
            <w:r>
              <w:t xml:space="preserve">{{10 anos (fiscal)}}</w:t>
            </w:r>
          </w:p>
        </w:tc>
        <w:tc>
          <w:tcPr/>
          <w:p>
            <w:pPr>
              <w:pStyle w:val="Compact"/>
            </w:pPr>
            <w:r>
              <w:t xml:space="preserve">Gerar NIF válido fictício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clientes.email</w:t>
            </w:r>
          </w:p>
        </w:tc>
        <w:tc>
          <w:tcPr/>
          <w:p>
            <w:pPr>
              <w:pStyle w:val="Compact"/>
            </w:pPr>
            <w:r>
              <w:t xml:space="preserve">Confidencial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Em repouso</w:t>
            </w:r>
          </w:p>
        </w:tc>
        <w:tc>
          <w:tcPr/>
          <w:p>
            <w:pPr>
              <w:pStyle w:val="Compact"/>
            </w:pPr>
            <w:r>
              <w:t xml:space="preserve">{{10 anos}}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user{{n}}@exemplo.invalid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encomendas.total_cents</w:t>
            </w:r>
          </w:p>
        </w:tc>
        <w:tc>
          <w:tcPr/>
          <w:p>
            <w:pPr>
              <w:pStyle w:val="Compact"/>
            </w:pPr>
            <w:r>
              <w:t xml:space="preserve">Interno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{{10 anos}}</w:t>
            </w:r>
          </w:p>
        </w:tc>
        <w:tc>
          <w:tcPr/>
          <w:p>
            <w:pPr>
              <w:pStyle w:val="Compact"/>
            </w:pPr>
            <w:r>
              <w:t xml:space="preserve">Manter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eventos_encomenda.payload</w:t>
            </w:r>
          </w:p>
        </w:tc>
        <w:tc>
          <w:tcPr/>
          <w:p>
            <w:pPr>
              <w:pStyle w:val="Compact"/>
            </w:pPr>
            <w:r>
              <w:t xml:space="preserve">Confidencial</w:t>
            </w:r>
          </w:p>
        </w:tc>
        <w:tc>
          <w:tcPr/>
          <w:p>
            <w:pPr>
              <w:pStyle w:val="Compact"/>
            </w:pPr>
            <w:r>
              <w:t xml:space="preserve">Pode conter</w:t>
            </w:r>
          </w:p>
        </w:tc>
        <w:tc>
          <w:tcPr/>
          <w:p>
            <w:pPr>
              <w:pStyle w:val="Compact"/>
            </w:pPr>
            <w:r>
              <w:t xml:space="preserve">Em repouso</w:t>
            </w:r>
          </w:p>
        </w:tc>
        <w:tc>
          <w:tcPr/>
          <w:p>
            <w:pPr>
              <w:pStyle w:val="Compact"/>
            </w:pPr>
            <w:r>
              <w:t xml:space="preserve">{{2 anos}}</w:t>
            </w:r>
          </w:p>
        </w:tc>
        <w:tc>
          <w:tcPr/>
          <w:p>
            <w:pPr>
              <w:pStyle w:val="Compact"/>
            </w:pPr>
            <w:r>
              <w:t xml:space="preserve">Truncar</w:t>
            </w:r>
          </w:p>
        </w:tc>
      </w:tr>
    </w:tbl>
    <w:p>
      <w:pPr>
        <w:pStyle w:val="BodyText"/>
      </w:pPr>
      <w:r>
        <w:rPr>
          <w:b/>
          <w:bCs/>
        </w:rPr>
        <w:t xml:space="preserve">Classificações:</w:t>
      </w:r>
      <w:r>
        <w:t xml:space="preserve"> </w:t>
      </w:r>
      <w:r>
        <w:t xml:space="preserve">Público · Interno · Confidencial · Restrito</w:t>
      </w:r>
      <w:r>
        <w:t xml:space="preserve"> </w:t>
      </w:r>
      <w:r>
        <w:t xml:space="preserve">&gt; Ver</w:t>
      </w:r>
      <w:r>
        <w:t xml:space="preserve"> </w:t>
      </w:r>
      <w:hyperlink r:id="rId55">
        <w:r>
          <w:rPr>
            <w:rStyle w:val="Hyperlink"/>
          </w:rPr>
          <w:t xml:space="preserve">Privacidade / RGPD</w:t>
        </w:r>
      </w:hyperlink>
    </w:p>
    <w:p>
      <w:r>
        <w:pict>
          <v:rect style="width:0;height:1.5pt" o:hralign="center" o:hrstd="t" o:hr="t"/>
        </w:pict>
      </w:r>
    </w:p>
    <w:bookmarkEnd w:id="56"/>
    <w:bookmarkStart w:id="57" w:name="convenções"/>
    <w:p>
      <w:pPr>
        <w:pStyle w:val="Heading2"/>
      </w:pPr>
      <w:r>
        <w:t xml:space="preserve">4. Convenções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Convenção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Nomes de tabelas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snake_case</w:t>
            </w:r>
            <w:r>
              <w:t xml:space="preserve">, plural (</w:t>
            </w:r>
            <w:r>
              <w:rPr>
                <w:rStyle w:val="VerbatimChar"/>
              </w:rPr>
              <w:t xml:space="preserve">encomendas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Nomes de colunas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snake_case</w:t>
            </w:r>
            <w:r>
              <w:t xml:space="preserve">, singular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Chaves primárias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UUID v7 (ordenável)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Chaves estrangeiras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{{tabela_singular}}_id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Booleanos</w:t>
            </w:r>
          </w:p>
        </w:tc>
        <w:tc>
          <w:tcPr/>
          <w:p>
            <w:pPr>
              <w:pStyle w:val="Compact"/>
            </w:pPr>
            <w:r>
              <w:t xml:space="preserve">Prefixo</w:t>
            </w:r>
            <w:r>
              <w:t xml:space="preserve"> </w:t>
            </w:r>
            <w:r>
              <w:rPr>
                <w:rStyle w:val="VerbatimChar"/>
              </w:rPr>
              <w:t xml:space="preserve">e_</w:t>
            </w:r>
            <w:r>
              <w:t xml:space="preserve">/</w:t>
            </w:r>
            <w:r>
              <w:rPr>
                <w:rStyle w:val="VerbatimChar"/>
              </w:rPr>
              <w:t xml:space="preserve">tem_</w:t>
            </w:r>
            <w:r>
              <w:t xml:space="preserve"> </w:t>
            </w:r>
            <w:r>
              <w:t xml:space="preserve">ou adjetivo (</w:t>
            </w:r>
            <w:r>
              <w:rPr>
                <w:rStyle w:val="VerbatimChar"/>
              </w:rPr>
              <w:t xml:space="preserve">ativo</w:t>
            </w:r>
            <w:r>
              <w:t xml:space="preserve">) — nunca negativos (</w:t>
            </w:r>
            <w:r>
              <w:rPr>
                <w:rStyle w:val="VerbatimChar"/>
              </w:rPr>
              <w:t xml:space="preserve">nao_ativo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Datas/horas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  <w:r>
              <w:t xml:space="preserve">, sempre UTC; sufixo</w:t>
            </w:r>
            <w:r>
              <w:t xml:space="preserve"> </w:t>
            </w:r>
            <w:r>
              <w:rPr>
                <w:rStyle w:val="VerbatimChar"/>
              </w:rPr>
              <w:t xml:space="preserve">_em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Dinheiro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  <w:r>
              <w:t xml:space="preserve"> </w:t>
            </w:r>
            <w:r>
              <w:t xml:space="preserve">em cêntimos + coluna de moeda;</w:t>
            </w:r>
            <w:r>
              <w:t xml:space="preserve"> </w:t>
            </w:r>
            <w:r>
              <w:rPr>
                <w:b/>
                <w:bCs/>
              </w:rPr>
              <w:t xml:space="preserve">nunca</w:t>
            </w:r>
            <w:r>
              <w:t xml:space="preserve"> </w:t>
            </w:r>
            <w:r>
              <w:rPr>
                <w:rStyle w:val="VerbatimChar"/>
              </w:rPr>
              <w:t xml:space="preserve">float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Enumerações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(mais fácil de evoluir que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 </w:t>
            </w:r>
            <w:r>
              <w:t xml:space="preserve">nativo)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eliminado_em timestamptz NULL</w:t>
            </w:r>
            <w:r>
              <w:t xml:space="preserve"> </w:t>
            </w:r>
            <w:r>
              <w:t xml:space="preserve">— usar apenas quando necessário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Índices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ix_</w:t>
            </w:r>
            <w:r>
              <w:t xml:space="preserve"> </w:t>
            </w:r>
            <w:r>
              <w:t xml:space="preserve">normal ·</w:t>
            </w:r>
            <w:r>
              <w:t xml:space="preserve"> </w:t>
            </w:r>
            <w:r>
              <w:rPr>
                <w:rStyle w:val="VerbatimChar"/>
              </w:rPr>
              <w:t xml:space="preserve">uq_</w:t>
            </w:r>
            <w:r>
              <w:t xml:space="preserve"> </w:t>
            </w:r>
            <w:r>
              <w:t xml:space="preserve">único ·</w:t>
            </w:r>
            <w:r>
              <w:t xml:space="preserve"> </w:t>
            </w:r>
            <w:r>
              <w:rPr>
                <w:rStyle w:val="VerbatimChar"/>
              </w:rPr>
              <w:t xml:space="preserve">pk_</w:t>
            </w:r>
            <w:r>
              <w:t xml:space="preserve"> </w:t>
            </w:r>
            <w:r>
              <w:t xml:space="preserve">primária ·</w:t>
            </w:r>
            <w:r>
              <w:t xml:space="preserve"> </w:t>
            </w:r>
            <w:r>
              <w:rPr>
                <w:rStyle w:val="VerbatimChar"/>
              </w:rPr>
              <w:t xml:space="preserve">fk_</w:t>
            </w:r>
            <w:r>
              <w:t xml:space="preserve"> </w:t>
            </w:r>
            <w:r>
              <w:t xml:space="preserve">estrangeira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62" w:name="migrações"/>
    <w:p>
      <w:pPr>
        <w:pStyle w:val="Heading2"/>
      </w:pPr>
      <w:r>
        <w:t xml:space="preserve">5. Migrações</w:t>
      </w:r>
    </w:p>
    <w:bookmarkStart w:id="58" w:name="princípios"/>
    <w:p>
      <w:pPr>
        <w:pStyle w:val="Heading3"/>
      </w:pPr>
      <w:r>
        <w:t xml:space="preserve">Princípios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Forward-only</w:t>
      </w:r>
      <w:r>
        <w:t xml:space="preserve"> </w:t>
      </w:r>
      <w:r>
        <w:t xml:space="preserve">— nunca editar uma migração já aplicada em produção.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Compatíveis com a versão anterior</w:t>
      </w:r>
      <w:r>
        <w:t xml:space="preserve"> </w:t>
      </w:r>
      <w:r>
        <w:t xml:space="preserve">do código (deploy contínuo exige que N e N+1 coexistam).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Expand → Migrate → Contract</w:t>
      </w:r>
      <w:r>
        <w:t xml:space="preserve"> </w:t>
      </w:r>
      <w:r>
        <w:t xml:space="preserve">para alterações destrutivas.</w:t>
      </w:r>
    </w:p>
    <w:p>
      <w:pPr>
        <w:pStyle w:val="Compact"/>
        <w:numPr>
          <w:ilvl w:val="0"/>
          <w:numId w:val="1001"/>
        </w:numPr>
      </w:pPr>
      <w:r>
        <w:t xml:space="preserve">Migrações longas correm</w:t>
      </w:r>
      <w:r>
        <w:t xml:space="preserve"> </w:t>
      </w:r>
      <w:r>
        <w:rPr>
          <w:b/>
          <w:bCs/>
        </w:rPr>
        <w:t xml:space="preserve">fora</w:t>
      </w:r>
      <w:r>
        <w:t xml:space="preserve"> </w:t>
      </w:r>
      <w:r>
        <w:t xml:space="preserve">do arranque da aplicação.</w:t>
      </w:r>
    </w:p>
    <w:bookmarkEnd w:id="58"/>
    <w:bookmarkStart w:id="59" w:name="X17dd33abf270c915381597aefad8b980cd6bf7b"/>
    <w:p>
      <w:pPr>
        <w:pStyle w:val="Heading3"/>
      </w:pPr>
      <w:r>
        <w:t xml:space="preserve">Padrão Expand/Contract — exemplo: renomear coluna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Expand</w:t>
            </w:r>
          </w:p>
        </w:tc>
        <w:tc>
          <w:tcPr/>
          <w:p>
            <w:pPr>
              <w:pStyle w:val="Compact"/>
            </w:pPr>
            <w:r>
              <w:t xml:space="preserve">Adicionar</w:t>
            </w:r>
            <w:r>
              <w:t xml:space="preserve"> </w:t>
            </w:r>
            <w:r>
              <w:rPr>
                <w:rStyle w:val="VerbatimChar"/>
              </w:rPr>
              <w:t xml:space="preserve">novo_nome</w:t>
            </w:r>
            <w:r>
              <w:t xml:space="preserve">; escrever nos dois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Backfill</w:t>
            </w:r>
          </w:p>
        </w:tc>
        <w:tc>
          <w:tcPr/>
          <w:p>
            <w:pPr>
              <w:pStyle w:val="Compact"/>
            </w:pPr>
            <w:r>
              <w:t xml:space="preserve">Copiar dados em lotes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Migrate</w:t>
            </w:r>
          </w:p>
        </w:tc>
        <w:tc>
          <w:tcPr/>
          <w:p>
            <w:pPr>
              <w:pStyle w:val="Compact"/>
            </w:pPr>
            <w:r>
              <w:t xml:space="preserve">Ler de</w:t>
            </w:r>
            <w:r>
              <w:t xml:space="preserve"> </w:t>
            </w:r>
            <w:r>
              <w:rPr>
                <w:rStyle w:val="VerbatimChar"/>
              </w:rPr>
              <w:t xml:space="preserve">novo_nome</w:t>
            </w:r>
          </w:p>
        </w:tc>
        <w:tc>
          <w:tcPr/>
          <w:p>
            <w:pPr>
              <w:pStyle w:val="Compact"/>
            </w:pPr>
            <w:r>
              <w:t xml:space="preserve">v1.2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Contract</w:t>
            </w:r>
          </w:p>
        </w:tc>
        <w:tc>
          <w:tcPr/>
          <w:p>
            <w:pPr>
              <w:pStyle w:val="Compact"/>
            </w:pPr>
            <w:r>
              <w:t xml:space="preserve">Remover</w:t>
            </w:r>
            <w:r>
              <w:t xml:space="preserve"> </w:t>
            </w:r>
            <w:r>
              <w:rPr>
                <w:rStyle w:val="VerbatimChar"/>
              </w:rPr>
              <w:t xml:space="preserve">nome_antigo</w:t>
            </w:r>
          </w:p>
        </w:tc>
        <w:tc>
          <w:tcPr/>
          <w:p>
            <w:pPr>
              <w:pStyle w:val="Compact"/>
            </w:pPr>
            <w:r>
              <w:t xml:space="preserve">v1.3</w:t>
            </w:r>
          </w:p>
        </w:tc>
      </w:tr>
    </w:tbl>
    <w:bookmarkEnd w:id="59"/>
    <w:bookmarkStart w:id="60" w:name="registo"/>
    <w:p>
      <w:pPr>
        <w:pStyle w:val="Heading3"/>
      </w:pPr>
      <w:r>
        <w:t xml:space="preserve">Registo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Aplicada em prod</w:t>
            </w:r>
          </w:p>
        </w:tc>
        <w:tc>
          <w:tcPr/>
          <w:p>
            <w:pPr>
              <w:pStyle w:val="Compact"/>
            </w:pPr>
            <w:r>
              <w:t xml:space="preserve">Reversível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{{V001}}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V001__esquema_inicial.sql</w:t>
            </w:r>
          </w:p>
        </w:tc>
        <w:tc>
          <w:tcPr/>
          <w:p>
            <w:pPr>
              <w:pStyle w:val="Compact"/>
            </w:pPr>
            <w:r>
              <w:t xml:space="preserve">Tabelas base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{{2 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{{V014}}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V014__indice_pendentes.sql</w:t>
            </w:r>
          </w:p>
        </w:tc>
        <w:tc>
          <w:tcPr/>
          <w:p>
            <w:pPr>
              <w:pStyle w:val="Compact"/>
            </w:pPr>
            <w:r>
              <w:t xml:space="preserve">Índice parcial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{{45 s, CONCURRENTLY}}</w:t>
            </w:r>
          </w:p>
        </w:tc>
      </w:tr>
    </w:tbl>
    <w:bookmarkEnd w:id="60"/>
    <w:bookmarkStart w:id="61" w:name="Xf7dbcfbea3d1aa1a7e63b2e5c3d7acf1fdfa64d"/>
    <w:p>
      <w:pPr>
        <w:pStyle w:val="Heading3"/>
      </w:pPr>
      <w:r>
        <w:t xml:space="preserve">Checklist antes de uma migração em produção</w:t>
      </w:r>
    </w:p>
    <w:p>
      <w:pPr>
        <w:pStyle w:val="Compact"/>
        <w:numPr>
          <w:ilvl w:val="0"/>
          <w:numId w:val="1002"/>
        </w:numPr>
      </w:pPr>
      <w:r>
        <w:t xml:space="preserve">Testada em cópia com volume realista</w:t>
      </w:r>
    </w:p>
    <w:p>
      <w:pPr>
        <w:pStyle w:val="Compact"/>
        <w:numPr>
          <w:ilvl w:val="0"/>
          <w:numId w:val="1003"/>
        </w:numPr>
      </w:pPr>
      <w:r>
        <w:t xml:space="preserve">Duração estimada e aceitável (ou aplicada</w:t>
      </w:r>
      <w:r>
        <w:t xml:space="preserve"> </w:t>
      </w:r>
      <w:r>
        <w:rPr>
          <w:rStyle w:val="VerbatimChar"/>
        </w:rPr>
        <w:t xml:space="preserve">CONCURRENTLY</w:t>
      </w:r>
      <w:r>
        <w:t xml:space="preserve"> </w:t>
      </w:r>
      <w:r>
        <w:t xml:space="preserve">/ em lotes)</w:t>
      </w:r>
    </w:p>
    <w:p>
      <w:pPr>
        <w:pStyle w:val="Compact"/>
        <w:numPr>
          <w:ilvl w:val="0"/>
          <w:numId w:val="1004"/>
        </w:numPr>
      </w:pPr>
      <w:r>
        <w:t xml:space="preserve">Não bloqueia tabelas quentes</w:t>
      </w:r>
    </w:p>
    <w:p>
      <w:pPr>
        <w:pStyle w:val="Compact"/>
        <w:numPr>
          <w:ilvl w:val="0"/>
          <w:numId w:val="1005"/>
        </w:numPr>
      </w:pPr>
      <w:r>
        <w:t xml:space="preserve">Compatível com a versão de código atualmente em produção</w:t>
      </w:r>
    </w:p>
    <w:p>
      <w:pPr>
        <w:pStyle w:val="Compact"/>
        <w:numPr>
          <w:ilvl w:val="0"/>
          <w:numId w:val="1006"/>
        </w:numPr>
      </w:pPr>
      <w:r>
        <w:t xml:space="preserve">Plano de reversão documentado</w:t>
      </w:r>
    </w:p>
    <w:p>
      <w:pPr>
        <w:pStyle w:val="Compact"/>
        <w:numPr>
          <w:ilvl w:val="0"/>
          <w:numId w:val="1007"/>
        </w:numPr>
      </w:pPr>
      <w:r>
        <w:t xml:space="preserve">Backup verificado imediatamente antes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estratégia-de-acesso-e-desempenho"/>
    <w:p>
      <w:pPr>
        <w:pStyle w:val="Heading2"/>
      </w:pPr>
      <w:r>
        <w:t xml:space="preserve">6. Estratégia de acesso e desempenho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Consulta principal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Índice usado</w:t>
            </w:r>
          </w:p>
        </w:tc>
        <w:tc>
          <w:tcPr/>
          <w:p>
            <w:pPr>
              <w:pStyle w:val="Compact"/>
            </w:pPr>
            <w:r>
              <w:t xml:space="preserve">Alvo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{{Listar encomendas do cliente por estado}}</w:t>
            </w:r>
          </w:p>
        </w:tc>
        <w:tc>
          <w:tcPr/>
          <w:p>
            <w:pPr>
              <w:pStyle w:val="Compact"/>
            </w:pPr>
            <w:r>
              <w:t xml:space="preserve">{{Muito alta}}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ix_encomendas_cliente_estado</w:t>
            </w:r>
          </w:p>
        </w:tc>
        <w:tc>
          <w:tcPr/>
          <w:p>
            <w:pPr>
              <w:pStyle w:val="Compact"/>
            </w:pPr>
            <w:r>
              <w:t xml:space="preserve">{{&lt; 20 ms}}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{{Fila de aprovação}}</w:t>
            </w:r>
          </w:p>
        </w:tc>
        <w:tc>
          <w:tcPr/>
          <w:p>
            <w:pPr>
              <w:pStyle w:val="Compact"/>
            </w:pPr>
            <w:r>
              <w:t xml:space="preserve">{{Alta}}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ix_encomendas_pendentes</w:t>
            </w:r>
          </w:p>
        </w:tc>
        <w:tc>
          <w:tcPr/>
          <w:p>
            <w:pPr>
              <w:pStyle w:val="Compact"/>
            </w:pPr>
            <w:r>
              <w:t xml:space="preserve">{{&lt; 30 ms}}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{{Relatório mensal}}</w:t>
            </w:r>
          </w:p>
        </w:tc>
        <w:tc>
          <w:tcPr/>
          <w:p>
            <w:pPr>
              <w:pStyle w:val="Compact"/>
            </w:pPr>
            <w:r>
              <w:t xml:space="preserve">{{Baixa}}</w:t>
            </w:r>
          </w:p>
        </w:tc>
        <w:tc>
          <w:tcPr/>
          <w:p>
            <w:pPr>
              <w:pStyle w:val="Compact"/>
            </w:pPr>
            <w:r>
              <w:t xml:space="preserve">{{Réplica de leitura + agregação}}</w:t>
            </w:r>
          </w:p>
        </w:tc>
        <w:tc>
          <w:tcPr/>
          <w:p>
            <w:pPr>
              <w:pStyle w:val="Compact"/>
            </w:pPr>
            <w:r>
              <w:t xml:space="preserve">{{&lt; 5 s}}</w:t>
            </w:r>
          </w:p>
        </w:tc>
      </w:tr>
    </w:tbl>
    <w:p>
      <w:pPr>
        <w:pStyle w:val="BodyText"/>
      </w:pPr>
      <w:r>
        <w:rPr>
          <w:b/>
          <w:bCs/>
        </w:rPr>
        <w:t xml:space="preserve">Anti-padrões a evitar:</w:t>
      </w:r>
      <w:r>
        <w:t xml:space="preserve"> </w:t>
      </w:r>
      <w:r>
        <w:t xml:space="preserve">N+1 ·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em listagens · paginação por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em tabelas grandes (usar keyset) · consultas analíticas na primária.</w:t>
      </w:r>
    </w:p>
    <w:p>
      <w:r>
        <w:pict>
          <v:rect style="width:0;height:1.5pt" o:hralign="center" o:hrstd="t" o:hr="t"/>
        </w:pict>
      </w:r>
    </w:p>
    <w:bookmarkEnd w:id="63"/>
    <w:bookmarkStart w:id="64" w:name="volumetria-e-crescimento"/>
    <w:p>
      <w:pPr>
        <w:pStyle w:val="Heading2"/>
      </w:pPr>
      <w:r>
        <w:t xml:space="preserve">7. Volumetria e crescimento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Tabela</w:t>
            </w:r>
          </w:p>
        </w:tc>
        <w:tc>
          <w:tcPr/>
          <w:p>
            <w:pPr>
              <w:pStyle w:val="Compact"/>
            </w:pPr>
            <w:r>
              <w:t xml:space="preserve">Registos atuais</w:t>
            </w:r>
          </w:p>
        </w:tc>
        <w:tc>
          <w:tcPr/>
          <w:p>
            <w:pPr>
              <w:pStyle w:val="Compact"/>
            </w:pPr>
            <w:r>
              <w:t xml:space="preserve">Crescimento/mês</w:t>
            </w:r>
          </w:p>
        </w:tc>
        <w:tc>
          <w:tcPr/>
          <w:p>
            <w:pPr>
              <w:pStyle w:val="Compact"/>
            </w:pPr>
            <w:r>
              <w:t xml:space="preserve">Projeção 3 anos</w:t>
            </w:r>
          </w:p>
        </w:tc>
        <w:tc>
          <w:tcPr/>
          <w:p>
            <w:pPr>
              <w:pStyle w:val="Compact"/>
            </w:pPr>
            <w:r>
              <w:t xml:space="preserve">Estratégia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encomendas</w:t>
            </w:r>
          </w:p>
        </w:tc>
        <w:tc>
          <w:tcPr/>
          <w:p>
            <w:pPr>
              <w:pStyle w:val="Compact"/>
            </w:pPr>
            <w:r>
              <w:t xml:space="preserve">{{50 000}}</w:t>
            </w:r>
          </w:p>
        </w:tc>
        <w:tc>
          <w:tcPr/>
          <w:p>
            <w:pPr>
              <w:pStyle w:val="Compact"/>
            </w:pPr>
            <w:r>
              <w:t xml:space="preserve">{{+3 000}}</w:t>
            </w:r>
          </w:p>
        </w:tc>
        <w:tc>
          <w:tcPr/>
          <w:p>
            <w:pPr>
              <w:pStyle w:val="Compact"/>
            </w:pPr>
            <w:r>
              <w:t xml:space="preserve">{{~160 000}}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eventos_encomenda</w:t>
            </w:r>
          </w:p>
        </w:tc>
        <w:tc>
          <w:tcPr/>
          <w:p>
            <w:pPr>
              <w:pStyle w:val="Compact"/>
            </w:pPr>
            <w:r>
              <w:t xml:space="preserve">{{800 000}}</w:t>
            </w:r>
          </w:p>
        </w:tc>
        <w:tc>
          <w:tcPr/>
          <w:p>
            <w:pPr>
              <w:pStyle w:val="Compact"/>
            </w:pPr>
            <w:r>
              <w:t xml:space="preserve">{{+60 000}}</w:t>
            </w:r>
          </w:p>
        </w:tc>
        <w:tc>
          <w:tcPr/>
          <w:p>
            <w:pPr>
              <w:pStyle w:val="Compact"/>
            </w:pPr>
            <w:r>
              <w:t xml:space="preserve">{{~3 M}}</w:t>
            </w:r>
          </w:p>
        </w:tc>
        <w:tc>
          <w:tcPr/>
          <w:p>
            <w:pPr>
              <w:pStyle w:val="Compact"/>
            </w:pPr>
            <w:r>
              <w:t xml:space="preserve">Particionar por mês; arquivar &gt; 2 anos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multi-tenancy"/>
    <w:p>
      <w:pPr>
        <w:pStyle w:val="Heading2"/>
      </w:pPr>
      <w:r>
        <w:t xml:space="preserve">8. Multi-tenancy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{{Base de dados partilhada, esquema partilhado, coluna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Isolamento</w:t>
            </w:r>
          </w:p>
        </w:tc>
        <w:tc>
          <w:tcPr/>
          <w:p>
            <w:pPr>
              <w:pStyle w:val="Compact"/>
            </w:pPr>
            <w:r>
              <w:t xml:space="preserve">{{Row-Level Security do PostgreSQL +</w:t>
            </w:r>
            <w:r>
              <w:t xml:space="preserve"> </w:t>
            </w:r>
            <w:r>
              <w:rPr>
                <w:rStyle w:val="VerbatimChar"/>
              </w:rPr>
              <w:t xml:space="preserve">SET app.tenant_id</w:t>
            </w:r>
            <w:r>
              <w:t xml:space="preserve"> </w:t>
            </w:r>
            <w:r>
              <w:t xml:space="preserve">por sessão}}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Risco principal</w:t>
            </w:r>
          </w:p>
        </w:tc>
        <w:tc>
          <w:tcPr/>
          <w:p>
            <w:pPr>
              <w:pStyle w:val="Compact"/>
            </w:pPr>
            <w:r>
              <w:t xml:space="preserve">{{Consulta sem filtro de tenant → fuga entre clientes}}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Mitigação</w:t>
            </w:r>
          </w:p>
        </w:tc>
        <w:tc>
          <w:tcPr/>
          <w:p>
            <w:pPr>
              <w:pStyle w:val="Compact"/>
            </w:pPr>
            <w:r>
              <w:t xml:space="preserve">{{RLS obrigatória; teste automático que verifica isolamento em todas as tabelas}}</w:t>
            </w:r>
          </w:p>
        </w:tc>
      </w:tr>
    </w:tbl>
    <w:bookmarkEnd w:id="65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49" Target="media/rId49.png" /><Relationship Type="http://schemas.openxmlformats.org/officeDocument/2006/relationships/hyperlink" Id="rId55" Target="../07-governanca/02-privacidade-rgp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../07-governanca/02-privacidade-rgp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Dados — {{PROJETO}}</dc:title>
  <dc:creator/>
  <dc:language>pt-PT</dc:language>
  <cp:keywords/>
  <dcterms:created xsi:type="dcterms:W3CDTF">2026-08-24T10:58:31Z</dcterms:created>
  <dcterms:modified xsi:type="dcterms:W3CDTF">2026-08-24T10:58:31Z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