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Diagramas de Sequência — Cenários Técnicos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Complementa</w:t>
      </w:r>
      <w:r>
        <w:t xml:space="preserve"> </w:t>
      </w:r>
      <w:hyperlink r:id="rId49">
        <w:r>
          <w:rPr>
            <w:rStyle w:val="Hyperlink"/>
          </w:rPr>
          <w:t xml:space="preserve">Fluxos e Processos</w:t>
        </w:r>
      </w:hyperlink>
      <w:r>
        <w:t xml:space="preserve">, que cobre a perspetiva de negócio. Aqui documenta-se a interação</w:t>
      </w:r>
      <w:r>
        <w:t xml:space="preserve"> </w:t>
      </w:r>
      <w:r>
        <w:rPr>
          <w:b/>
          <w:bCs/>
        </w:rPr>
        <w:t xml:space="preserve">técnica</w:t>
      </w:r>
      <w:r>
        <w:t xml:space="preserve"> </w:t>
      </w:r>
      <w:r>
        <w:t xml:space="preserve">entre componentes.</w:t>
      </w:r>
    </w:p>
    <w:p>
      <w:r>
        <w:pict>
          <v:rect style="width:0;height:1.5pt" o:hralign="center" o:hrstd="t" o:hr="t"/>
        </w:pict>
      </w:r>
    </w:p>
    <w:bookmarkStart w:id="53" w:name="Xdd6914a697dfabd25f4a09b618f0e14849c3cc1"/>
    <w:p>
      <w:pPr>
        <w:pStyle w:val="Heading2"/>
      </w:pPr>
      <w:r>
        <w:t xml:space="preserve">1. Autenticação OIDC (Authorization Code + PKCE)</w:t>
      </w:r>
    </w:p>
    <w:p>
      <w:pPr>
        <w:pStyle w:val="FirstParagraph"/>
      </w:pPr>
      <w:r>
        <w:drawing>
          <wp:inline>
            <wp:extent cx="6191999" cy="448398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48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Start w:id="57" w:name="renovação-de-token-e-sessão-expirada"/>
    <w:p>
      <w:pPr>
        <w:pStyle w:val="Heading2"/>
      </w:pPr>
      <w:r>
        <w:t xml:space="preserve">2. Renovação de token e sessão expirada</w:t>
      </w:r>
    </w:p>
    <w:p>
      <w:pPr>
        <w:pStyle w:val="FirstParagraph"/>
      </w:pPr>
      <w:r>
        <w:drawing>
          <wp:inline>
            <wp:extent cx="6191999" cy="564754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64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1" w:name="escrita-idempotente"/>
    <w:p>
      <w:pPr>
        <w:pStyle w:val="Heading2"/>
      </w:pPr>
      <w:r>
        <w:t xml:space="preserve">3. Escrita idempotente</w:t>
      </w:r>
    </w:p>
    <w:p>
      <w:pPr>
        <w:pStyle w:val="FirstParagraph"/>
      </w:pPr>
      <w:r>
        <w:drawing>
          <wp:inline>
            <wp:extent cx="6191999" cy="500283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out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002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5" w:name="X3ce225b18e82325e5f707bf1154c953a6061e2d"/>
    <w:p>
      <w:pPr>
        <w:pStyle w:val="Heading2"/>
      </w:pPr>
      <w:r>
        <w:t xml:space="preserve">4. Processamento assíncrono com garantia de entrega (Outbox)</w:t>
      </w:r>
    </w:p>
    <w:p>
      <w:pPr>
        <w:pStyle w:val="FirstParagraph"/>
      </w:pPr>
      <w:r>
        <w:drawing>
          <wp:inline>
            <wp:extent cx="6191999" cy="433206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out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33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Porquê Outbox:</w:t>
      </w:r>
      <w:r>
        <w:t xml:space="preserve"> </w:t>
      </w:r>
      <w:r>
        <w:t xml:space="preserve">evita a escrita dupla (gravar na BD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publicar no broker sem transação comum), onde uma falha entre as duas deixa o sistema inconsistente.</w:t>
      </w:r>
    </w:p>
    <w:p>
      <w:r>
        <w:pict>
          <v:rect style="width:0;height:1.5pt" o:hralign="center" o:hrstd="t" o:hr="t"/>
        </w:pict>
      </w:r>
    </w:p>
    <w:bookmarkEnd w:id="65"/>
    <w:bookmarkStart w:id="69" w:name="X512e0c0939d8f1f86ccaf0bdecbcba6245ac886"/>
    <w:p>
      <w:pPr>
        <w:pStyle w:val="Heading2"/>
      </w:pPr>
      <w:r>
        <w:t xml:space="preserve">5. Circuit breaker sobre dependência externa</w:t>
      </w:r>
    </w:p>
    <w:p>
      <w:pPr>
        <w:pStyle w:val="FirstParagraph"/>
      </w:pPr>
      <w:r>
        <w:drawing>
          <wp:inline>
            <wp:extent cx="5176799" cy="791791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out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791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Start w:id="73" w:name="upload-de-ficheiro-com-url-pré-assinado"/>
    <w:p>
      <w:pPr>
        <w:pStyle w:val="Heading2"/>
      </w:pPr>
      <w:r>
        <w:t xml:space="preserve">6. Upload de ficheiro com URL pré-assinado</w:t>
      </w:r>
    </w:p>
    <w:p>
      <w:pPr>
        <w:pStyle w:val="FirstParagraph"/>
      </w:pPr>
      <w:r>
        <w:drawing>
          <wp:inline>
            <wp:extent cx="6191999" cy="4677189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out-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67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Start w:id="74" w:name="cenário-próprio"/>
    <w:p>
      <w:pPr>
        <w:pStyle w:val="Heading2"/>
      </w:pPr>
      <w:r>
        <w:t xml:space="preserve">7. {{Cenário próprio}}</w:t>
      </w:r>
    </w:p>
    <w:p>
      <w:pPr>
        <w:pStyle w:val="FirstParagraph"/>
      </w:pPr>
      <w:r>
        <w:t xml:space="preserve">{{Copiar a estrutura acima}}</w:t>
      </w:r>
    </w:p>
    <w:bookmarkEnd w:id="7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hyperlink" Id="rId49" Target="../02-analise/03-fluxos-process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2-analise/03-fluxos-process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Sequência — Cenários Técnicos</dc:title>
  <dc:creator/>
  <dc:language>pt-PT</dc:language>
  <cp:keywords/>
  <dcterms:created xsi:type="dcterms:W3CDTF">2026-08-24T10:58:33Z</dcterms:created>
  <dcterms:modified xsi:type="dcterms:W3CDTF">2026-08-24T10:58:33Z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