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Prova de Conceito — {{ASSUNTO}}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BlockText"/>
      </w:pPr>
      <w:r>
        <w:rPr>
          <w:b/>
          <w:bCs/>
        </w:rPr>
        <w:t xml:space="preserve">Estado:</w:t>
      </w:r>
      <w:r>
        <w:t xml:space="preserve"> </w:t>
      </w:r>
      <w:r>
        <w:t xml:space="preserve">{{a decorrer | concluída}} ·</w:t>
      </w:r>
      <w:r>
        <w:t xml:space="preserve"> </w:t>
      </w:r>
      <w:r>
        <w:rPr>
          <w:b/>
          <w:bCs/>
        </w:rPr>
        <w:t xml:space="preserve">Prazo fixo:</w:t>
      </w:r>
      <w:r>
        <w:t xml:space="preserve"> </w:t>
      </w:r>
      <w:r>
        <w:t xml:space="preserve">{{N dias}}</w:t>
      </w:r>
      <w:r>
        <w:t xml:space="preserve"> </w:t>
      </w:r>
      <w:r>
        <w:rPr>
          <w:b/>
          <w:bCs/>
        </w:rPr>
        <w:t xml:space="preserve">Início:</w:t>
      </w:r>
      <w:r>
        <w:t xml:space="preserve"> </w:t>
      </w:r>
      <w:r>
        <w:t xml:space="preserve">{{AAAA-MM-DD}} ·</w:t>
      </w:r>
      <w:r>
        <w:t xml:space="preserve"> </w:t>
      </w:r>
      <w:r>
        <w:rPr>
          <w:b/>
          <w:bCs/>
        </w:rPr>
        <w:t xml:space="preserve">Fim:</w:t>
      </w:r>
      <w:r>
        <w:t xml:space="preserve"> </w:t>
      </w:r>
      <w:r>
        <w:t xml:space="preserve">{{AAAA-MM-DD}} ·</w:t>
      </w:r>
      <w:r>
        <w:t xml:space="preserve"> </w:t>
      </w:r>
      <w:r>
        <w:rPr>
          <w:b/>
          <w:bCs/>
        </w:rPr>
        <w:t xml:space="preserve">Quem faz:</w:t>
      </w:r>
      <w:r>
        <w:t xml:space="preserve"> </w:t>
      </w:r>
      <w:r>
        <w:t xml:space="preserve">{{…}}</w:t>
      </w:r>
    </w:p>
    <w:p>
      <w:r>
        <w:pict>
          <v:rect style="width:0;height:1.5pt" o:hralign="center" o:hrstd="t" o:hr="t"/>
        </w:pict>
      </w:r>
    </w:p>
    <w:bookmarkStart w:id="49" w:name="a-pergunta"/>
    <w:p>
      <w:pPr>
        <w:pStyle w:val="Heading2"/>
      </w:pPr>
      <w:r>
        <w:t xml:space="preserve">1. A pergunta</w:t>
      </w:r>
    </w:p>
    <w:p>
      <w:pPr>
        <w:pStyle w:val="FirstParagraph"/>
      </w:pPr>
      <w:r>
        <w:rPr>
          <w:b/>
          <w:bCs/>
        </w:rPr>
        <w:t xml:space="preserve">Queremos saber se:</w:t>
      </w:r>
      <w:r>
        <w:t xml:space="preserve"> </w:t>
      </w:r>
      <w:r>
        <w:t xml:space="preserve">{{afirmação verificável, que pode dar verdadeira ou falsa}}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Bom</w:t>
            </w:r>
          </w:p>
        </w:tc>
        <w:tc>
          <w:tcPr/>
          <w:p>
            <w:pPr>
              <w:pStyle w:val="Compact"/>
            </w:pPr>
            <w:r>
              <w:t xml:space="preserve">Mau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</w:t>
            </w:r>
            <w:r>
              <w:t xml:space="preserve">“O leitor do PDA entrega o código como texto de teclado, sem SDK”</w:t>
            </w:r>
            <w:r>
              <w:t xml:space="preserve">}}</w:t>
            </w:r>
          </w:p>
        </w:tc>
        <w:tc>
          <w:tcPr/>
          <w:p>
            <w:pPr>
              <w:pStyle w:val="Compact"/>
            </w:pPr>
            <w:r>
              <w:t xml:space="preserve">{{</w:t>
            </w:r>
            <w:r>
              <w:t xml:space="preserve">“Explorar o PDA”</w:t>
            </w:r>
            <w:r>
              <w:t xml:space="preserve">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</w:t>
            </w:r>
            <w:r>
              <w:t xml:space="preserve">“O Postgres aguenta 500 escritas/s neste hardware”</w:t>
            </w:r>
            <w:r>
              <w:t xml:space="preserve">}}</w:t>
            </w:r>
          </w:p>
        </w:tc>
        <w:tc>
          <w:tcPr/>
          <w:p>
            <w:pPr>
              <w:pStyle w:val="Compact"/>
            </w:pPr>
            <w:r>
              <w:t xml:space="preserve">{{</w:t>
            </w:r>
            <w:r>
              <w:t xml:space="preserve">“Testar desempenho”</w:t>
            </w:r>
            <w:r>
              <w:t xml:space="preserve">}}</w:t>
            </w:r>
          </w:p>
        </w:tc>
      </w:tr>
    </w:tbl>
    <w:p>
      <w:pPr>
        <w:pStyle w:val="BodyText"/>
      </w:pPr>
      <w:r>
        <w:rPr>
          <w:b/>
          <w:bCs/>
        </w:rPr>
        <w:t xml:space="preserve">Porque importa:</w:t>
      </w:r>
      <w:r>
        <w:t xml:space="preserve"> </w:t>
      </w:r>
      <w:r>
        <w:t xml:space="preserve">{{que decisão fica bloqueada até isto ser respondido}}</w:t>
      </w:r>
    </w:p>
    <w:p>
      <w:r>
        <w:pict>
          <v:rect style="width:0;height:1.5pt" o:hralign="center" o:hrstd="t" o:hr="t"/>
        </w:pict>
      </w:r>
    </w:p>
    <w:bookmarkEnd w:id="49"/>
    <w:bookmarkStart w:id="50" w:name="X2e834a8476f42d944570ed27aa763ba33a8b4c1"/>
    <w:p>
      <w:pPr>
        <w:pStyle w:val="Heading2"/>
      </w:pPr>
      <w:r>
        <w:t xml:space="preserve">2. Prazo fixo — e o que acontece quando acabar</w:t>
      </w:r>
    </w:p>
    <w:p>
      <w:pPr>
        <w:pStyle w:val="FirstParagraph"/>
      </w:pPr>
      <w:r>
        <w:rPr>
          <w:b/>
          <w:bCs/>
        </w:rPr>
        <w:t xml:space="preserve">Esforço máximo:</w:t>
      </w:r>
      <w:r>
        <w:t xml:space="preserve"> </w:t>
      </w:r>
      <w:r>
        <w:t xml:space="preserve">{{N dias}}. Terminado o prazo, escreve-se o que se aprendeu</w:t>
      </w:r>
      <w:r>
        <w:t xml:space="preserve"> </w:t>
      </w:r>
      <w:r>
        <w:rPr>
          <w:b/>
          <w:bCs/>
        </w:rPr>
        <w:t xml:space="preserve">mesmo que a resposta seja</w:t>
      </w:r>
      <w:r>
        <w:rPr>
          <w:b/>
          <w:bCs/>
        </w:rPr>
        <w:t xml:space="preserve"> </w:t>
      </w:r>
      <w:r>
        <w:rPr>
          <w:b/>
          <w:bCs/>
        </w:rPr>
        <w:t xml:space="preserve">“continua sem se saber”</w:t>
      </w:r>
      <w:r>
        <w:t xml:space="preserve"> </w:t>
      </w:r>
      <w:r>
        <w:t xml:space="preserve">— e isso é um resultado</w:t>
      </w:r>
      <w:r>
        <w:t xml:space="preserve"> </w:t>
      </w:r>
      <w:r>
        <w:t xml:space="preserve">que muda o plano, não um fracasso.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 a resposta for</w:t>
            </w:r>
          </w:p>
        </w:tc>
        <w:tc>
          <w:tcPr/>
          <w:p>
            <w:pPr>
              <w:pStyle w:val="Compact"/>
            </w:pPr>
            <w:r>
              <w:t xml:space="preserve">Então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Sim</w:t>
            </w:r>
          </w:p>
        </w:tc>
        <w:tc>
          <w:tcPr/>
          <w:p>
            <w:pPr>
              <w:pStyle w:val="Compact"/>
            </w:pPr>
            <w:r>
              <w:t xml:space="preserve">{{avança-se com {{X}}}}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Não</w:t>
            </w:r>
          </w:p>
        </w:tc>
        <w:tc>
          <w:tcPr/>
          <w:p>
            <w:pPr>
              <w:pStyle w:val="Compact"/>
            </w:pPr>
            <w:r>
              <w:t xml:space="preserve">{{avança-se com {{Y}}}}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Inconclusivo</w:t>
            </w:r>
          </w:p>
        </w:tc>
        <w:tc>
          <w:tcPr/>
          <w:p>
            <w:pPr>
              <w:pStyle w:val="Compact"/>
            </w:pPr>
            <w:r>
              <w:t xml:space="preserve">{{{{decisão de escalada: mais tempo, ou decidir sem saber e assumir o risco}}}}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0"/>
    <w:bookmarkStart w:id="51" w:name="X373b0f0114aaf91c3447f839f6181bcc12fd862"/>
    <w:p>
      <w:pPr>
        <w:pStyle w:val="Heading2"/>
      </w:pPr>
      <w:r>
        <w:t xml:space="preserve">3. Critérios de sucesso — definidos</w:t>
      </w:r>
      <w:r>
        <w:t xml:space="preserve"> </w:t>
      </w:r>
      <w:r>
        <w:rPr>
          <w:b/>
          <w:bCs/>
        </w:rPr>
        <w:t xml:space="preserve">antes</w:t>
      </w:r>
      <w:r>
        <w:t xml:space="preserve"> </w:t>
      </w:r>
      <w:r>
        <w:t xml:space="preserve">de começar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Critério</w:t>
            </w:r>
          </w:p>
        </w:tc>
        <w:tc>
          <w:tcPr/>
          <w:p>
            <w:pPr>
              <w:pStyle w:val="Compact"/>
            </w:pPr>
            <w:r>
              <w:t xml:space="preserve">Como se mede</w:t>
            </w:r>
          </w:p>
        </w:tc>
        <w:tc>
          <w:tcPr/>
          <w:p>
            <w:pPr>
              <w:pStyle w:val="Compact"/>
            </w:pPr>
            <w:r>
              <w:t xml:space="preserve">Limite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</w:tbl>
    <w:p>
      <w:pPr>
        <w:pStyle w:val="BlockText"/>
      </w:pPr>
      <w:r>
        <w:t xml:space="preserve">Definir isto depois de ver os resultados é como apontar a alvo já disparado.</w:t>
      </w:r>
    </w:p>
    <w:p>
      <w:r>
        <w:pict>
          <v:rect style="width:0;height:1.5pt" o:hralign="center" o:hrstd="t" o:hr="t"/>
        </w:pict>
      </w:r>
    </w:p>
    <w:bookmarkEnd w:id="51"/>
    <w:bookmarkStart w:id="52" w:name="âmbito"/>
    <w:p>
      <w:pPr>
        <w:pStyle w:val="Heading2"/>
      </w:pPr>
      <w:r>
        <w:t xml:space="preserve">4. Âmbito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Faz parte</w:t>
            </w:r>
          </w:p>
        </w:tc>
        <w:tc>
          <w:tcPr/>
          <w:p>
            <w:pPr>
              <w:pStyle w:val="Compact"/>
            </w:pPr>
            <w:r>
              <w:t xml:space="preserve">Não faz parte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{{O caminho mínimo que responde à pergunta}}</w:t>
            </w:r>
          </w:p>
        </w:tc>
        <w:tc>
          <w:tcPr/>
          <w:p>
            <w:pPr>
              <w:pStyle w:val="Compact"/>
            </w:pPr>
            <w:r>
              <w:t xml:space="preserve">{{Tratamento de erros}}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{{Autenticação, testes, aspeto}}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{{Qualquer coisa que se pareça com produção}}</w:t>
            </w:r>
          </w:p>
        </w:tc>
      </w:tr>
    </w:tbl>
    <w:p>
      <w:pPr>
        <w:pStyle w:val="BodyText"/>
      </w:pPr>
      <w:r>
        <w:rPr>
          <w:b/>
          <w:bCs/>
        </w:rPr>
        <w:t xml:space="preserve">Este código vai ser deitado fora.</w:t>
      </w:r>
      <w:r>
        <w:t xml:space="preserve"> </w:t>
      </w:r>
      <w:r>
        <w:t xml:space="preserve">Se não for, deixou de ser uma prova de</w:t>
      </w:r>
      <w:r>
        <w:t xml:space="preserve"> </w:t>
      </w:r>
      <w:r>
        <w:t xml:space="preserve">conceito e passou a ser a primeira versão — que é uma decisão diferente e tem</w:t>
      </w:r>
      <w:r>
        <w:t xml:space="preserve"> </w:t>
      </w:r>
      <w:r>
        <w:t xml:space="preserve">de ser tomada de olhos abertos.</w:t>
      </w:r>
    </w:p>
    <w:p>
      <w:r>
        <w:pict>
          <v:rect style="width:0;height:1.5pt" o:hralign="center" o:hrstd="t" o:hr="t"/>
        </w:pict>
      </w:r>
    </w:p>
    <w:bookmarkEnd w:id="52"/>
    <w:bookmarkStart w:id="53" w:name="montagem"/>
    <w:p>
      <w:pPr>
        <w:pStyle w:val="Heading2"/>
      </w:pPr>
      <w:r>
        <w:t xml:space="preserve">5. Montagem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Hardware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Versões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Dados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Onde está o código</w:t>
            </w:r>
          </w:p>
        </w:tc>
        <w:tc>
          <w:tcPr/>
          <w:p>
            <w:pPr>
              <w:pStyle w:val="Compact"/>
            </w:pPr>
            <w:r>
              <w:t xml:space="preserve">{{ramo/repositório — marcado como descartável}}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3"/>
    <w:bookmarkStart w:id="54" w:name="registo-do-que-aconteceu"/>
    <w:p>
      <w:pPr>
        <w:pStyle w:val="Heading2"/>
      </w:pPr>
      <w:r>
        <w:t xml:space="preserve">6. Registo do que aconteceu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Dia</w:t>
            </w:r>
          </w:p>
        </w:tc>
        <w:tc>
          <w:tcPr/>
          <w:p>
            <w:pPr>
              <w:pStyle w:val="Compact"/>
            </w:pPr>
            <w:r>
              <w:t xml:space="preserve">O que se tentou</w:t>
            </w:r>
          </w:p>
        </w:tc>
        <w:tc>
          <w:tcPr/>
          <w:p>
            <w:pPr>
              <w:pStyle w:val="Compact"/>
            </w:pPr>
            <w:r>
              <w:t xml:space="preserve">Resultado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</w:tbl>
    <w:p>
      <w:pPr>
        <w:pStyle w:val="BodyText"/>
      </w:pPr>
      <w:r>
        <w:rPr>
          <w:b/>
          <w:bCs/>
        </w:rPr>
        <w:t xml:space="preserve">Obstáculos encontrados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Obstáculo</w:t>
            </w:r>
          </w:p>
        </w:tc>
        <w:tc>
          <w:tcPr/>
          <w:p>
            <w:pPr>
              <w:pStyle w:val="Compact"/>
            </w:pPr>
            <w:r>
              <w:t xml:space="preserve">Resolvido?</w:t>
            </w:r>
          </w:p>
        </w:tc>
        <w:tc>
          <w:tcPr/>
          <w:p>
            <w:pPr>
              <w:pStyle w:val="Compact"/>
            </w:pPr>
            <w:r>
              <w:t xml:space="preserve">Como / porque não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4"/>
    <w:bookmarkStart w:id="55" w:name="resultados"/>
    <w:p>
      <w:pPr>
        <w:pStyle w:val="Heading2"/>
      </w:pPr>
      <w:r>
        <w:t xml:space="preserve">7. Resultados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Critério</w:t>
            </w:r>
          </w:p>
        </w:tc>
        <w:tc>
          <w:tcPr/>
          <w:p>
            <w:pPr>
              <w:pStyle w:val="Compact"/>
            </w:pPr>
            <w:r>
              <w:t xml:space="preserve">Alcançado</w:t>
            </w:r>
          </w:p>
        </w:tc>
        <w:tc>
          <w:tcPr/>
          <w:p>
            <w:pPr>
              <w:pStyle w:val="Compact"/>
            </w:pPr>
            <w:r>
              <w:t xml:space="preserve">Medição</w:t>
            </w:r>
          </w:p>
        </w:tc>
        <w:tc>
          <w:tcPr/>
          <w:p>
            <w:pPr>
              <w:pStyle w:val="Compact"/>
            </w:pPr>
            <w:r>
              <w:t xml:space="preserve">Notas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{{✔ / ✘}}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5"/>
    <w:bookmarkStart w:id="56" w:name="conclusão"/>
    <w:p>
      <w:pPr>
        <w:pStyle w:val="Heading2"/>
      </w:pPr>
      <w:r>
        <w:t xml:space="preserve">8. Conclusão</w:t>
      </w:r>
    </w:p>
    <w:p>
      <w:pPr>
        <w:pStyle w:val="FirstParagraph"/>
      </w:pPr>
      <w:r>
        <w:rPr>
          <w:b/>
          <w:bCs/>
        </w:rPr>
        <w:t xml:space="preserve">Resposta à pergunta:</w:t>
      </w:r>
      <w:r>
        <w:t xml:space="preserve"> </w:t>
      </w:r>
      <w:r>
        <w:t xml:space="preserve">{{Sim / Não / Inconclusivo}}</w:t>
      </w:r>
    </w:p>
    <w:p>
      <w:pPr>
        <w:pStyle w:val="BodyText"/>
      </w:pPr>
      <w:r>
        <w:rPr>
          <w:b/>
          <w:bCs/>
        </w:rPr>
        <w:t xml:space="preserve">Confiança:</w:t>
      </w:r>
      <w:r>
        <w:t xml:space="preserve"> </w:t>
      </w:r>
      <w:r>
        <w:t xml:space="preserve">{{alta | média | baixa}} — {{porquê}}</w:t>
      </w:r>
    </w:p>
    <w:p>
      <w:pPr>
        <w:pStyle w:val="BodyText"/>
      </w:pPr>
      <w:r>
        <w:rPr>
          <w:b/>
          <w:bCs/>
        </w:rPr>
        <w:t xml:space="preserve">O que continua por saber:</w:t>
      </w:r>
      <w:r>
        <w:t xml:space="preserve"> </w:t>
      </w:r>
      <w:r>
        <w:t xml:space="preserve">{{…}}</w:t>
      </w:r>
    </w:p>
    <w:p>
      <w:pPr>
        <w:pStyle w:val="BodyText"/>
      </w:pPr>
      <w:r>
        <w:rPr>
          <w:b/>
          <w:bCs/>
        </w:rPr>
        <w:t xml:space="preserve">Recomendação:</w:t>
      </w:r>
      <w:r>
        <w:t xml:space="preserve"> </w:t>
      </w:r>
      <w:r>
        <w:t xml:space="preserve">{{…}}</w:t>
      </w:r>
    </w:p>
    <w:p>
      <w:pPr>
        <w:pStyle w:val="BodyText"/>
      </w:pPr>
      <w:r>
        <w:rPr>
          <w:b/>
          <w:bCs/>
        </w:rPr>
        <w:t xml:space="preserve">Onde isto entra:</w:t>
      </w:r>
      <w:r>
        <w:t xml:space="preserve"> </w:t>
      </w:r>
      <w:r>
        <w:t xml:space="preserve">{{ADR / Escolha de Tecnologia / Plano de Projeto}}</w:t>
      </w:r>
    </w:p>
    <w:bookmarkEnd w:id="56"/>
    <w:sectPr>
      <w:footerReference xmlns:r="http://schemas.openxmlformats.org/officeDocument/2006/relationships" r:id="rId40" w:type="default"/>
      <w:pgSz w:h="16838" w:w="11906"/>
      <w:pgMar w:bottom="1134" w:footer="709" w:gutter="0" w:header="709" w:left="1021" w:right="1021" w:top="1134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jc w:val="center"/>
      <w:pBdr>
        <w:top w:val="single" w:sz="4" w:space="6" w:color="D6DEE4"/>
      </w:pBdr>
      <w:spacing w:before="60" w:after="0"/>
    </w:pPr>
    <w:r>
      <w:rPr>
        <w:rFonts w:ascii="Calibri" w:hAnsi="Calibri"/>
        <w:sz w:val="16"/>
        <w:color w:val="7A868F"/>
      </w:rPr>
      <w:t xml:space="preserve">Pagina </w:t>
    </w:r>
    <w:r>
      <w:rPr>
        <w:sz w:val="16"/>
        <w:color w:val="7A868F"/>
      </w:rPr>
      <w:fldChar w:fldCharType="begin"/>
    </w:r>
    <w:r>
      <w:rPr>
        <w:sz w:val="16"/>
        <w:color w:val="7A868F"/>
      </w:rPr>
      <w:instrText xml:space="preserve"> PAGE </w:instrText>
    </w:r>
    <w:r>
      <w:rPr>
        <w:sz w:val="16"/>
        <w:color w:val="7A868F"/>
      </w:rPr>
      <w:fldChar w:fldCharType="separate"/>
    </w:r>
    <w:r>
      <w:rPr>
        <w:sz w:val="16"/>
        <w:color w:val="7A868F"/>
      </w:rPr>
      <w:t>1</w:t>
    </w:r>
    <w:r>
      <w:rPr>
        <w:sz w:val="16"/>
        <w:color w:val="7A868F"/>
      </w:rPr>
      <w:fldChar w:fldCharType="end"/>
    </w:r>
    <w:r>
      <w:rPr>
        <w:rFonts w:ascii="Calibri" w:hAnsi="Calibri"/>
        <w:sz w:val="16"/>
        <w:color w:val="7A868F"/>
      </w:rPr>
      <w:t xml:space="preserve"> de </w:t>
    </w:r>
    <w:r>
      <w:rPr>
        <w:sz w:val="16"/>
        <w:color w:val="7A868F"/>
      </w:rPr>
      <w:fldChar w:fldCharType="begin"/>
    </w:r>
    <w:r>
      <w:rPr>
        <w:sz w:val="16"/>
        <w:color w:val="7A868F"/>
      </w:rPr>
      <w:instrText xml:space="preserve"> NUMPAGES </w:instrText>
    </w:r>
    <w:r>
      <w:rPr>
        <w:sz w:val="16"/>
        <w:color w:val="7A868F"/>
      </w:rPr>
      <w:fldChar w:fldCharType="separate"/>
    </w:r>
    <w:r>
      <w:rPr>
        <w:sz w:val="16"/>
        <w:color w:val="7A868F"/>
      </w:rPr>
      <w:t>1</w:t>
    </w:r>
    <w:r>
      <w:rPr>
        <w:sz w:val="16"/>
        <w:color w:val="7A868F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pt-PT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0" w:before="0" w:line="264" w:lineRule="auto"/>
    </w:pPr>
    <w:rPr>
      <w:rFonts w:ascii="Calibri" w:cs="Calibri" w:hAnsi="Calibri"/>
      <w:sz w:val="21"/>
      <w:szCs w:val="21"/>
      <w:lang w:bidi="ar-SA" w:eastAsia="pt-PT" w:val="pt-PT"/>
    </w:rPr>
  </w:style>
  <w:style w:styleId="BodyText" w:type="paragraph">
    <w:name w:val="Body Text"/>
    <w:basedOn w:val="Normal"/>
    <w:link w:val="BodyTextChar"/>
    <w:qFormat/>
    <w:pPr>
      <w:spacing w:after="120" w:before="6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20" w:before="20"/>
    </w:pPr>
  </w:style>
  <w:style w:styleId="Title" w:type="paragraph">
    <w:name w:val="Title"/>
    <w:basedOn w:val="Normal"/>
    <w:next w:val="BodyText"/>
    <w:qFormat/>
    <w:pPr>
      <w:keepNext/>
      <w:spacing w:after="120" w:before="0"/>
      <w:pBdr>
        <w:bottom w:color="EF7B10" w:space="6" w:sz="18" w:val="single"/>
      </w:pBdr>
    </w:pPr>
    <w:rPr>
      <w:rFonts w:ascii="Calibri" w:hAnsi="Calibri"/>
      <w:b/>
      <w:color w:val="2224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2514E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pPr>
      <w:keepNext/>
      <w:keepLines/>
      <w:spacing w:after="140" w:before="360"/>
      <w:pBdr>
        <w:bottom w:color="BA5C00" w:space="4" w:sz="6" w:val="single"/>
      </w:pBdr>
      <w:outlineLvl w:val="0"/>
    </w:pPr>
    <w:rPr>
      <w:rFonts w:ascii="Calibri" w:hAnsi="Calibri"/>
      <w:b/>
      <w:color w:val="222428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qFormat/>
    <w:pPr>
      <w:keepNext/>
      <w:keepLines/>
      <w:spacing w:after="110" w:before="280"/>
      <w:outlineLvl w:val="1"/>
    </w:pPr>
    <w:rPr>
      <w:rFonts w:ascii="Calibri" w:hAnsi="Calibri"/>
      <w:b/>
      <w:color w:val="00537E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qFormat/>
    <w:pPr>
      <w:keepNext/>
      <w:keepLines/>
      <w:spacing w:after="90" w:before="220"/>
      <w:outlineLvl w:val="2"/>
    </w:pPr>
    <w:rPr>
      <w:rFonts w:ascii="Calibri" w:hAnsi="Calibri"/>
      <w:b/>
      <w:color w:val="222428"/>
      <w:sz w:val="23"/>
      <w:szCs w:val="23"/>
    </w:rPr>
  </w:style>
  <w:style w:styleId="Heading4" w:type="paragraph">
    <w:name w:val="heading 4"/>
    <w:basedOn w:val="Normal"/>
    <w:next w:val="BodyText"/>
    <w:link w:val="Heading4Char"/>
    <w:uiPriority w:val="9"/>
    <w:qFormat/>
    <w:pPr>
      <w:keepNext/>
      <w:keepLines/>
      <w:spacing w:after="80" w:before="180"/>
      <w:outlineLvl w:val="3"/>
    </w:pPr>
    <w:rPr>
      <w:rFonts w:ascii="Calibri" w:hAnsi="Calibri"/>
      <w:b/>
      <w:color w:val="222428"/>
      <w:sz w:val="21"/>
      <w:szCs w:val="2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222428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2514E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2514E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52514E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52514E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222428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222428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222428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222428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222428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2514E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2514E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52514E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52514E"/>
    </w:rPr>
  </w:style>
  <w:style w:styleId="BlockText" w:type="paragraph">
    <w:name w:val="Block Text"/>
    <w:basedOn w:val="Normal"/>
    <w:qFormat/>
    <w:pPr>
      <w:spacing w:after="120" w:before="120"/>
      <w:ind w:left="240" w:right="120"/>
      <w:shd w:color="auto" w:fill="FEE1CE" w:val="clear"/>
      <w:pBdr>
        <w:left w:color="EF7B10" w:space="8" w:sz="18" w:val="single"/>
      </w:pBdr>
    </w:pPr>
    <w:rPr>
      <w:color w:val="52514E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qFormat/>
    <w:pPr>
      <w:spacing w:after="20" w:before="20" w:line="240" w:lineRule="auto"/>
    </w:pPr>
    <w:rPr>
      <w:sz w:val="19"/>
      <w:szCs w:val="19"/>
    </w:rPr>
    <w:tblPr>
      <w:tblInd w:type="dxa" w:w="0"/>
      <w:tblBorders>
        <w:top w:color="BFC0C2" w:sz="4" w:val="single"/>
        <w:left w:color="BFC0C2" w:sz="4" w:val="single"/>
        <w:bottom w:color="BFC0C2" w:sz="4" w:val="single"/>
        <w:right w:color="BFC0C2" w:sz="4" w:val="single"/>
        <w:insideH w:color="BFC0C2" w:sz="4" w:val="single"/>
        <w:insideV w:color="BFC0C2" w:sz="4" w:val="single"/>
      </w:tblBorders>
      <w:tblCellMar>
        <w:top w:type="dxa" w:w="60"/>
        <w:left w:type="dxa" w:w="108"/>
        <w:bottom w:type="dxa" w:w="60"/>
        <w:right w:type="dxa" w:w="108"/>
      </w:tblCellMar>
    </w:tblPr>
    <w:tblStylePr w:type="firstRow">
      <w:pPr>
        <w:keepNext/>
      </w:pPr>
      <w:rPr>
        <w:b/>
        <w:color w:val="FFFFFF"/>
      </w:rPr>
      <w:tcPr>
        <w:shd w:color="auto" w:fill="00537E" w:val="clear"/>
        <w:tcBorders>
          <w:bottom w:color="BFC0C2" w:sz="4" w:val="single"/>
        </w:tcBorders>
        <w:vAlign w:val="center"/>
      </w:tcPr>
    </w:tblStylePr>
    <w:tblStylePr w:type="band2Horz">
      <w:tcPr>
        <w:shd w:color="auto" w:fill="F7F8FA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styleId="ImageCaption" w:type="paragraph">
    <w:name w:val="Image Caption"/>
    <w:basedOn w:val="Normal"/>
    <w:qFormat/>
    <w:pPr>
      <w:jc w:val="center"/>
      <w:spacing w:after="200" w:before="60"/>
    </w:pPr>
    <w:rPr>
      <w:i/>
      <w:color w:val="6B6E74"/>
      <w:sz w:val="18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18"/>
      <w:szCs w:val="18"/>
      <w:color w:val="00537E"/>
      <w:shd w:color="auto" w:fill="ECEFF3" w:val="clear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00537E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222428"/>
    </w:rPr>
  </w:style>
  <w:style w:customStyle="1" w:styleId="SourceCode" w:type="paragraph">
    <w:name w:val="Source Code"/>
    <w:basedOn w:val="Normal"/>
    <w:qFormat/>
    <w:pPr>
      <w:keepLines/>
      <w:spacing w:after="0" w:before="0" w:line="240" w:lineRule="auto"/>
      <w:ind w:left="120" w:right="120"/>
      <w:shd w:color="auto" w:fill="ECEFF3" w:val="clear"/>
      <w:pBdr>
        <w:top w:color="BFC0C2" w:space="2" w:sz="4" w:val="single"/>
        <w:left w:color="BA5C00" w:space="4" w:sz="18" w:val="single"/>
        <w:bottom w:color="BFC0C2" w:space="2" w:sz="4" w:val="single"/>
        <w:right w:color="BFC0C2" w:space="2" w:sz="4" w:val="single"/>
      </w:pBdr>
    </w:pPr>
    <w:rPr>
      <w:rFonts w:ascii="Consolas" w:hAnsi="Consolas"/>
      <w:sz w:val="17"/>
      <w:szCs w:val="17"/>
    </w:rPr>
  </w:style>
  <w:style w:customStyle="1" w:styleId="KeywordTok" w:type="character">
    <w:name w:val="KeywordTok"/>
    <w:basedOn w:val="VerbatimChar"/>
    <w:rPr>
      <w:b/>
      <w:color w:val="00537e"/>
    </w:rPr>
  </w:style>
  <w:style w:customStyle="1" w:styleId="DataTypeTok" w:type="character">
    <w:name w:val="DataTypeTok"/>
    <w:basedOn w:val="VerbatimChar"/>
    <w:rPr>
      <w:color w:val="00679e"/>
    </w:rPr>
  </w:style>
  <w:style w:customStyle="1" w:styleId="DecValTok" w:type="character">
    <w:name w:val="DecValTok"/>
    <w:basedOn w:val="VerbatimChar"/>
    <w:rPr>
      <w:color w:val="876c0d"/>
    </w:rPr>
  </w:style>
  <w:style w:customStyle="1" w:styleId="BaseNTok" w:type="character">
    <w:name w:val="BaseNTok"/>
    <w:basedOn w:val="VerbatimChar"/>
    <w:rPr>
      <w:color w:val="876c0d"/>
    </w:rPr>
  </w:style>
  <w:style w:customStyle="1" w:styleId="FloatTok" w:type="character">
    <w:name w:val="FloatTok"/>
    <w:basedOn w:val="VerbatimChar"/>
    <w:rPr>
      <w:color w:val="876c0d"/>
    </w:rPr>
  </w:style>
  <w:style w:customStyle="1" w:styleId="ConstantTok" w:type="character">
    <w:name w:val="ConstantTok"/>
    <w:basedOn w:val="VerbatimChar"/>
    <w:rPr>
      <w:color w:val="876c0d"/>
    </w:rPr>
  </w:style>
  <w:style w:customStyle="1" w:styleId="CharTok" w:type="character">
    <w:name w:val="CharTok"/>
    <w:basedOn w:val="VerbatimChar"/>
    <w:rPr>
      <w:color w:val="367c2b"/>
    </w:rPr>
  </w:style>
  <w:style w:customStyle="1" w:styleId="SpecialCharTok" w:type="character">
    <w:name w:val="SpecialCharTok"/>
    <w:basedOn w:val="VerbatimChar"/>
    <w:rPr>
      <w:color w:val="a2451c"/>
    </w:rPr>
  </w:style>
  <w:style w:customStyle="1" w:styleId="StringTok" w:type="character">
    <w:name w:val="StringTok"/>
    <w:basedOn w:val="VerbatimChar"/>
    <w:rPr>
      <w:color w:val="367c2b"/>
    </w:rPr>
  </w:style>
  <w:style w:customStyle="1" w:styleId="VerbatimStringTok" w:type="character">
    <w:name w:val="VerbatimStringTok"/>
    <w:basedOn w:val="VerbatimChar"/>
    <w:rPr>
      <w:color w:val="367c2b"/>
    </w:rPr>
  </w:style>
  <w:style w:customStyle="1" w:styleId="SpecialStringTok" w:type="character">
    <w:name w:val="SpecialStringTok"/>
    <w:basedOn w:val="VerbatimChar"/>
    <w:rPr>
      <w:color w:val="367c2b"/>
    </w:rPr>
  </w:style>
  <w:style w:customStyle="1" w:styleId="ImportTok" w:type="character">
    <w:name w:val="ImportTok"/>
    <w:basedOn w:val="VerbatimChar"/>
    <w:rPr>
      <w:b/>
      <w:color w:val="00537e"/>
    </w:rPr>
  </w:style>
  <w:style w:customStyle="1" w:styleId="CommentTok" w:type="character">
    <w:name w:val="CommentTok"/>
    <w:basedOn w:val="VerbatimChar"/>
    <w:rPr>
      <w:i/>
      <w:color w:val="6b6e74"/>
    </w:rPr>
  </w:style>
  <w:style w:customStyle="1" w:styleId="DocumentationTok" w:type="character">
    <w:name w:val="DocumentationTok"/>
    <w:basedOn w:val="VerbatimChar"/>
    <w:rPr>
      <w:i/>
      <w:color w:val="6b6e74"/>
    </w:rPr>
  </w:style>
  <w:style w:customStyle="1" w:styleId="AnnotationTok" w:type="character">
    <w:name w:val="AnnotationTok"/>
    <w:basedOn w:val="VerbatimChar"/>
    <w:rPr>
      <w:i/>
      <w:color w:val="6b6e74"/>
    </w:rPr>
  </w:style>
  <w:style w:customStyle="1" w:styleId="CommentVarTok" w:type="character">
    <w:name w:val="CommentVarTok"/>
    <w:basedOn w:val="VerbatimChar"/>
    <w:rPr>
      <w:i/>
      <w:color w:val="6b6e74"/>
    </w:rPr>
  </w:style>
  <w:style w:customStyle="1" w:styleId="OtherTok" w:type="character">
    <w:name w:val="OtherTok"/>
    <w:basedOn w:val="VerbatimChar"/>
    <w:rPr>
      <w:color w:val="222428"/>
    </w:rPr>
  </w:style>
  <w:style w:customStyle="1" w:styleId="FunctionTok" w:type="character">
    <w:name w:val="FunctionTok"/>
    <w:basedOn w:val="VerbatimChar"/>
    <w:rPr>
      <w:color w:val="00679e"/>
    </w:rPr>
  </w:style>
  <w:style w:customStyle="1" w:styleId="VariableTok" w:type="character">
    <w:name w:val="VariableTok"/>
    <w:basedOn w:val="VerbatimChar"/>
    <w:rPr>
      <w:color w:val="222428"/>
    </w:rPr>
  </w:style>
  <w:style w:customStyle="1" w:styleId="ControlFlowTok" w:type="character">
    <w:name w:val="ControlFlowTok"/>
    <w:basedOn w:val="VerbatimChar"/>
    <w:rPr>
      <w:b/>
      <w:color w:val="00537e"/>
    </w:rPr>
  </w:style>
  <w:style w:customStyle="1" w:styleId="OperatorTok" w:type="character">
    <w:name w:val="OperatorTok"/>
    <w:basedOn w:val="VerbatimChar"/>
    <w:rPr>
      <w:color w:val="222428"/>
    </w:rPr>
  </w:style>
  <w:style w:customStyle="1" w:styleId="BuiltInTok" w:type="character">
    <w:name w:val="BuiltInTok"/>
    <w:basedOn w:val="VerbatimChar"/>
    <w:rPr>
      <w:color w:val="222428"/>
    </w:rPr>
  </w:style>
  <w:style w:customStyle="1" w:styleId="ExtensionTok" w:type="character">
    <w:name w:val="ExtensionTok"/>
    <w:basedOn w:val="VerbatimChar"/>
    <w:rPr>
      <w:color w:val="222428"/>
    </w:rPr>
  </w:style>
  <w:style w:customStyle="1" w:styleId="PreprocessorTok" w:type="character">
    <w:name w:val="PreprocessorTok"/>
    <w:basedOn w:val="VerbatimChar"/>
    <w:rPr>
      <w:color w:val="a2451c"/>
    </w:rPr>
  </w:style>
  <w:style w:customStyle="1" w:styleId="AttributeTok" w:type="character">
    <w:name w:val="AttributeTok"/>
    <w:basedOn w:val="VerbatimChar"/>
    <w:rPr>
      <w:color w:val="00679e"/>
    </w:rPr>
  </w:style>
  <w:style w:customStyle="1" w:styleId="RegionMarkerTok" w:type="character">
    <w:name w:val="RegionMarkerTok"/>
    <w:basedOn w:val="VerbatimChar"/>
    <w:rPr>
      <w:color w:val="222428"/>
    </w:rPr>
  </w:style>
  <w:style w:customStyle="1" w:styleId="InformationTok" w:type="character">
    <w:name w:val="InformationTok"/>
    <w:basedOn w:val="VerbatimChar"/>
    <w:rPr>
      <w:i/>
      <w:color w:val="6b6e74"/>
    </w:rPr>
  </w:style>
  <w:style w:customStyle="1" w:styleId="WarningTok" w:type="character">
    <w:name w:val="WarningTok"/>
    <w:basedOn w:val="VerbatimChar"/>
    <w:rPr>
      <w:b/>
      <w:color w:val="876c0d"/>
    </w:rPr>
  </w:style>
  <w:style w:customStyle="1" w:styleId="AlertTok" w:type="character">
    <w:name w:val="AlertTok"/>
    <w:basedOn w:val="VerbatimChar"/>
    <w:rPr>
      <w:b/>
      <w:color w:val="cf372d"/>
    </w:rPr>
  </w:style>
  <w:style w:customStyle="1" w:styleId="ErrorTok" w:type="character">
    <w:name w:val="ErrorTok"/>
    <w:basedOn w:val="VerbatimChar"/>
    <w:rPr>
      <w:b/>
      <w:color w:val="cf372d"/>
    </w:rPr>
  </w:style>
  <w:style w:customStyle="1" w:styleId="NormalTok" w:type="character">
    <w:name w:val="NormalTok"/>
    <w:basedOn w:val="VerbatimChar"/>
    <w:rPr>
      <w:color w:val="22242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48" Target="numbering.xml" /><Relationship Type="http://schemas.openxmlformats.org/officeDocument/2006/relationships/styles" Id="rId47" Target="styles.xml" /><Relationship Type="http://schemas.openxmlformats.org/officeDocument/2006/relationships/settings" Id="rId46" Target="settings.xml" /><Relationship Type="http://schemas.openxmlformats.org/officeDocument/2006/relationships/webSettings" Id="rId45" Target="webSettings.xml" /><Relationship Type="http://schemas.openxmlformats.org/officeDocument/2006/relationships/fontTable" Id="rId44" Target="fontTable.xml" /><Relationship Type="http://schemas.openxmlformats.org/officeDocument/2006/relationships/theme" Id="rId43" Target="theme/theme1.xml" /><Relationship Type="http://schemas.openxmlformats.org/officeDocument/2006/relationships/footnotes" Id="rId42" Target="footnotes.xml" /><Relationship Type="http://schemas.openxmlformats.org/officeDocument/2006/relationships/comments" Id="rId41" Target="comments.xml" /><Relationship Id="rId4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Prova de Conceito — {{ASSUNTO}}</dc:title>
  <dc:creator/>
  <dc:language>pt-PT</dc:language>
  <cp:keywords/>
  <dcterms:created xsi:type="dcterms:W3CDTF">2026-08-24T10:58:34Z</dcterms:created>
  <dcterms:modified xsi:type="dcterms:W3CDTF">2026-08-24T10:58:34Z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