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Testes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{{0.1}}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de qualidade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{{Versão 1.0}}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3" w:name="objetivos-e-critérios"/>
    <w:p>
      <w:pPr>
        <w:pStyle w:val="Heading2"/>
      </w:pPr>
      <w:r>
        <w:t xml:space="preserve">1. Objetivos e critérios</w:t>
      </w:r>
    </w:p>
    <w:bookmarkStart w:id="49" w:name="objetivos"/>
    <w:p>
      <w:pPr>
        <w:pStyle w:val="Heading3"/>
      </w:pPr>
      <w:r>
        <w:t xml:space="preserve">1.1 Objetivos</w:t>
      </w:r>
    </w:p>
    <w:p>
      <w:pPr>
        <w:pStyle w:val="FirstParagraph"/>
      </w:pPr>
      <w:r>
        <w:t xml:space="preserve">{{O que este plano pretende garantir e que risco cobre.}}</w:t>
      </w:r>
    </w:p>
    <w:bookmarkEnd w:id="49"/>
    <w:bookmarkStart w:id="50" w:name="Xb07a7ea64a60bce8986360c1796aa4d067ddd14"/>
    <w:p>
      <w:pPr>
        <w:pStyle w:val="Heading3"/>
      </w:pPr>
      <w:r>
        <w:t xml:space="preserve">1.2 Critérios de entrada (pode começar a testar quando…)</w:t>
      </w:r>
    </w:p>
    <w:p>
      <w:pPr>
        <w:pStyle w:val="Compact"/>
        <w:numPr>
          <w:ilvl w:val="0"/>
          <w:numId w:val="1001"/>
        </w:numPr>
      </w:pPr>
      <w:r>
        <w:t xml:space="preserve">Funcionalidade implementada e implantada em {{staging}}</w:t>
      </w:r>
    </w:p>
    <w:p>
      <w:pPr>
        <w:pStyle w:val="Compact"/>
        <w:numPr>
          <w:ilvl w:val="0"/>
          <w:numId w:val="1002"/>
        </w:numPr>
      </w:pPr>
      <w:r>
        <w:t xml:space="preserve">Testes unitários a passar no CI</w:t>
      </w:r>
    </w:p>
    <w:p>
      <w:pPr>
        <w:pStyle w:val="Compact"/>
        <w:numPr>
          <w:ilvl w:val="0"/>
          <w:numId w:val="1003"/>
        </w:numPr>
      </w:pPr>
      <w:r>
        <w:t xml:space="preserve">Dados de teste disponíveis</w:t>
      </w:r>
    </w:p>
    <w:p>
      <w:pPr>
        <w:pStyle w:val="Compact"/>
        <w:numPr>
          <w:ilvl w:val="0"/>
          <w:numId w:val="1004"/>
        </w:numPr>
      </w:pPr>
      <w:r>
        <w:t xml:space="preserve">Critérios de aceitação escritos</w:t>
      </w:r>
    </w:p>
    <w:bookmarkEnd w:id="50"/>
    <w:bookmarkStart w:id="51" w:name="critérios-de-saída-pode-lançar-quando"/>
    <w:p>
      <w:pPr>
        <w:pStyle w:val="Heading3"/>
      </w:pPr>
      <w:r>
        <w:t xml:space="preserve">1.3 Critérios de saída (pode lançar quando…)</w:t>
      </w:r>
    </w:p>
    <w:p>
      <w:pPr>
        <w:pStyle w:val="Compact"/>
        <w:numPr>
          <w:ilvl w:val="0"/>
          <w:numId w:val="1005"/>
        </w:numPr>
      </w:pPr>
      <w:r>
        <w:t xml:space="preserve">100% dos casos de teste</w:t>
      </w:r>
      <w:r>
        <w:t xml:space="preserve"> </w:t>
      </w:r>
      <w:r>
        <w:rPr>
          <w:b/>
          <w:bCs/>
        </w:rPr>
        <w:t xml:space="preserve">Críticos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Altos</w:t>
      </w:r>
      <w:r>
        <w:t xml:space="preserve"> </w:t>
      </w:r>
      <w:r>
        <w:t xml:space="preserve">executados</w:t>
      </w:r>
    </w:p>
    <w:p>
      <w:pPr>
        <w:pStyle w:val="Compact"/>
        <w:numPr>
          <w:ilvl w:val="0"/>
          <w:numId w:val="1006"/>
        </w:numPr>
      </w:pPr>
      <w:r>
        <w:t xml:space="preserve">0 defeitos Críticos ou Altos por resolver</w:t>
      </w:r>
    </w:p>
    <w:p>
      <w:pPr>
        <w:pStyle w:val="Compact"/>
        <w:numPr>
          <w:ilvl w:val="0"/>
          <w:numId w:val="1007"/>
        </w:numPr>
      </w:pPr>
      <w:r>
        <w:t xml:space="preserve">≤ {{3}} defeitos Médios conhecidos, documentados e aceites</w:t>
      </w:r>
    </w:p>
    <w:p>
      <w:pPr>
        <w:pStyle w:val="Compact"/>
        <w:numPr>
          <w:ilvl w:val="0"/>
          <w:numId w:val="1008"/>
        </w:numPr>
      </w:pPr>
      <w:r>
        <w:t xml:space="preserve">Cobertura de código ≥ {{80%}} no domínio</w:t>
      </w:r>
    </w:p>
    <w:p>
      <w:pPr>
        <w:pStyle w:val="Compact"/>
        <w:numPr>
          <w:ilvl w:val="0"/>
          <w:numId w:val="1009"/>
        </w:numPr>
      </w:pPr>
      <w:r>
        <w:t xml:space="preserve">Testes de desempenho dentro de RNF-01</w:t>
      </w:r>
    </w:p>
    <w:p>
      <w:pPr>
        <w:pStyle w:val="Compact"/>
        <w:numPr>
          <w:ilvl w:val="0"/>
          <w:numId w:val="1010"/>
        </w:numPr>
      </w:pPr>
      <w:r>
        <w:t xml:space="preserve">Auditoria de acessibilidade sem falhas de nível A ou AA</w:t>
      </w:r>
    </w:p>
    <w:p>
      <w:pPr>
        <w:pStyle w:val="Compact"/>
        <w:numPr>
          <w:ilvl w:val="0"/>
          <w:numId w:val="1011"/>
        </w:numPr>
      </w:pPr>
      <w:r>
        <w:t xml:space="preserve">Análise de segurança sem vulnerabilidades Críticas/Altas</w:t>
      </w:r>
    </w:p>
    <w:bookmarkEnd w:id="51"/>
    <w:bookmarkStart w:id="52" w:name="critérios-de-suspensão"/>
    <w:p>
      <w:pPr>
        <w:pStyle w:val="Heading3"/>
      </w:pPr>
      <w:r>
        <w:t xml:space="preserve">1.4 Critérios de suspensão</w:t>
      </w:r>
    </w:p>
    <w:p>
      <w:pPr>
        <w:pStyle w:val="FirstParagraph"/>
      </w:pPr>
      <w:r>
        <w:t xml:space="preserve">Suspender os testes se: {{ambiente indisponível &gt; 4 h; defeito bloqueante que impede &gt; 30% dos casos}}.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irâmide-de-testes"/>
    <w:p>
      <w:pPr>
        <w:pStyle w:val="Heading2"/>
      </w:pPr>
      <w:r>
        <w:t xml:space="preserve">2. Pirâmide de testes</w:t>
      </w:r>
    </w:p>
    <w:p>
      <w:pPr>
        <w:pStyle w:val="FirstParagraph"/>
      </w:pPr>
      <w:r>
        <w:drawing>
          <wp:inline>
            <wp:extent cx="5068799" cy="79190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799" cy="7919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 que testa</w:t>
            </w:r>
          </w:p>
        </w:tc>
        <w:tc>
          <w:tcPr/>
          <w:p>
            <w:pPr>
              <w:pStyle w:val="Compact"/>
            </w:pPr>
            <w:r>
              <w:t xml:space="preserve">Alvo de tempo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Quando corre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</w:t>
            </w:r>
          </w:p>
        </w:tc>
        <w:tc>
          <w:tcPr/>
          <w:p>
            <w:pPr>
              <w:pStyle w:val="Compact"/>
            </w:pPr>
            <w:r>
              <w:t xml:space="preserve">Regras de negócio, funções puras</w:t>
            </w:r>
          </w:p>
        </w:tc>
        <w:tc>
          <w:tcPr/>
          <w:p>
            <w:pPr>
              <w:pStyle w:val="Compact"/>
            </w:pPr>
            <w:r>
              <w:t xml:space="preserve">&lt; 10 ms cada; suite &lt; 60 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Cada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t xml:space="preserve">Serviço + BD + fila reais (containers)</w:t>
            </w:r>
          </w:p>
        </w:tc>
        <w:tc>
          <w:tcPr/>
          <w:p>
            <w:pPr>
              <w:pStyle w:val="Compact"/>
            </w:pPr>
            <w:r>
              <w:t xml:space="preserve">&lt; 5 min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Cada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Compatibilidade entre API e consumidores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{{Pact}}</w:t>
            </w:r>
          </w:p>
        </w:tc>
        <w:tc>
          <w:tcPr/>
          <w:p>
            <w:pPr>
              <w:pStyle w:val="Compact"/>
            </w:pPr>
            <w:r>
              <w:t xml:space="preserve">Cada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Percursos críticos completos</w:t>
            </w:r>
          </w:p>
        </w:tc>
        <w:tc>
          <w:tcPr/>
          <w:p>
            <w:pPr>
              <w:pStyle w:val="Compact"/>
            </w:pPr>
            <w:r>
              <w:t xml:space="preserve">&lt; 15 min</w:t>
            </w:r>
          </w:p>
        </w:tc>
        <w:tc>
          <w:tcPr/>
          <w:p>
            <w:pPr>
              <w:pStyle w:val="Compact"/>
            </w:pPr>
            <w:r>
              <w:t xml:space="preserve">{{Playwright}}</w:t>
            </w:r>
          </w:p>
        </w:tc>
        <w:tc>
          <w:tcPr/>
          <w:p>
            <w:pPr>
              <w:pStyle w:val="Compact"/>
            </w:pPr>
            <w:r>
              <w:t xml:space="preserve">Antes do merge + noturno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</w:t>
            </w:r>
          </w:p>
        </w:tc>
        <w:tc>
          <w:tcPr/>
          <w:p>
            <w:pPr>
              <w:pStyle w:val="Compact"/>
            </w:pPr>
            <w:r>
              <w:t xml:space="preserve">RNF de desempenho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{{k6}}</w:t>
            </w:r>
          </w:p>
        </w:tc>
        <w:tc>
          <w:tcPr/>
          <w:p>
            <w:pPr>
              <w:pStyle w:val="Compact"/>
            </w:pPr>
            <w:r>
              <w:t xml:space="preserve">Semanal + antes de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SAST, SCA, DAST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Cada PR / noturno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WCAG 2.2 AA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{{axe}} + manual</w:t>
            </w:r>
          </w:p>
        </w:tc>
        <w:tc>
          <w:tcPr/>
          <w:p>
            <w:pPr>
              <w:pStyle w:val="Compact"/>
            </w:pPr>
            <w:r>
              <w:t xml:space="preserve">Cada PR / por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Exploratório</w:t>
            </w:r>
          </w:p>
        </w:tc>
        <w:tc>
          <w:tcPr/>
          <w:p>
            <w:pPr>
              <w:pStyle w:val="Compact"/>
            </w:pPr>
            <w:r>
              <w:t xml:space="preserve">O que os scripts não antecipam</w:t>
            </w:r>
          </w:p>
        </w:tc>
        <w:tc>
          <w:tcPr/>
          <w:p>
            <w:pPr>
              <w:pStyle w:val="Compact"/>
            </w:pPr>
            <w:r>
              <w:t xml:space="preserve">{{2 h por release}}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Por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0" w:name="âmbito"/>
    <w:p>
      <w:pPr>
        <w:pStyle w:val="Heading2"/>
      </w:pPr>
      <w:r>
        <w:t xml:space="preserve">3. Âmbito</w:t>
      </w:r>
    </w:p>
    <w:bookmarkStart w:id="58" w:name="a-testar"/>
    <w:p>
      <w:pPr>
        <w:pStyle w:val="Heading3"/>
      </w:pPr>
      <w:r>
        <w:t xml:space="preserve">3.1 A testar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Justificação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{{Criação e aprovação de encomendas}}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{{Fluxo de receita}}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{{Autenticação e permissões}}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{{Segurança}}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{{Cálculo de preços}}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{{Impacto financeiro}}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{{Relatórios}}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{{Erro tolerável, corrigível}}</w:t>
            </w:r>
          </w:p>
        </w:tc>
      </w:tr>
    </w:tbl>
    <w:bookmarkEnd w:id="58"/>
    <w:bookmarkStart w:id="59" w:name="não-a-testar-e-porquê"/>
    <w:p>
      <w:pPr>
        <w:pStyle w:val="Heading3"/>
      </w:pPr>
      <w:r>
        <w:t xml:space="preserve">3.2 Não a testar (e porquê)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Risco aceite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{{Interface do fornecedor de pagamento}}</w:t>
            </w:r>
          </w:p>
        </w:tc>
        <w:tc>
          <w:tcPr/>
          <w:p>
            <w:pPr>
              <w:pStyle w:val="Compact"/>
            </w:pPr>
            <w:r>
              <w:t xml:space="preserve">Sistema de terceiros certificado</w:t>
            </w:r>
          </w:p>
        </w:tc>
        <w:tc>
          <w:tcPr/>
          <w:p>
            <w:pPr>
              <w:pStyle w:val="Compact"/>
            </w:pPr>
            <w:r>
              <w:t xml:space="preserve">{{Baixo}}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abordagem-baseada-em-risco"/>
    <w:p>
      <w:pPr>
        <w:pStyle w:val="Heading2"/>
      </w:pPr>
      <w:r>
        <w:t xml:space="preserve">4. Abordagem baseada em risco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Probabilidade de falha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Intensidade de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{{Cálculo de preços}}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Unitários exaustivos + property-based + revisão dupla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{{Aprovação}}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Unitários +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{{Exportação CSV}}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Um caso feliz + um de erro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3" w:name="ambientes-e-dados"/>
    <w:p>
      <w:pPr>
        <w:pStyle w:val="Heading2"/>
      </w:pPr>
      <w:r>
        <w:t xml:space="preserve">5. Ambientes e dados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Reposição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Sintéticos (</w:t>
            </w:r>
            <w:r>
              <w:rPr>
                <w:rStyle w:val="VerbatimChar"/>
              </w:rPr>
              <w:t xml:space="preserve">make seed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Automáticos</w:t>
            </w:r>
          </w:p>
        </w:tc>
        <w:tc>
          <w:tcPr/>
          <w:p>
            <w:pPr>
              <w:pStyle w:val="Compact"/>
            </w:pPr>
            <w:r>
              <w:t xml:space="preserve">Gerados por teste</w:t>
            </w:r>
          </w:p>
        </w:tc>
        <w:tc>
          <w:tcPr/>
          <w:p>
            <w:pPr>
              <w:pStyle w:val="Compact"/>
            </w:pPr>
            <w:r>
              <w:t xml:space="preserve">Cada execução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Aceitação, E2E, carga</w:t>
            </w:r>
          </w:p>
        </w:tc>
        <w:tc>
          <w:tcPr/>
          <w:p>
            <w:pPr>
              <w:pStyle w:val="Compact"/>
            </w:pPr>
            <w:r>
              <w:t xml:space="preserve">Anonimizados de produção</w:t>
            </w:r>
          </w:p>
        </w:tc>
        <w:tc>
          <w:tcPr/>
          <w:p>
            <w:pPr>
              <w:pStyle w:val="Compact"/>
            </w:pPr>
            <w:r>
              <w:t xml:space="preserve">{{Semanal}}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Testes de fumo pós-deploy</w:t>
            </w:r>
          </w:p>
        </w:tc>
        <w:tc>
          <w:tcPr/>
          <w:p>
            <w:pPr>
              <w:pStyle w:val="Compact"/>
            </w:pPr>
            <w:r>
              <w:t xml:space="preserve">Reais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nunca dados pessoais reais em ambientes de teste. A anonimização é irreversível e verificada. Ver</w:t>
      </w:r>
      <w:r>
        <w:t xml:space="preserve"> </w:t>
      </w:r>
      <w:hyperlink r:id="rId62">
        <w:r>
          <w:rPr>
            <w:rStyle w:val="Hyperlink"/>
          </w:rPr>
          <w:t xml:space="preserve">Privacidade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70" w:name="gestão-de-defeitos"/>
    <w:p>
      <w:pPr>
        <w:pStyle w:val="Heading2"/>
      </w:pPr>
      <w:r>
        <w:t xml:space="preserve">6. Gestão de defeitos</w:t>
      </w:r>
    </w:p>
    <w:bookmarkStart w:id="64" w:name="gravidade"/>
    <w:p>
      <w:pPr>
        <w:pStyle w:val="Heading3"/>
      </w:pPr>
      <w:r>
        <w:t xml:space="preserve">Gravidade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Prazo de resolução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Sistema inutilizável, perda de dados, falha de segurança</w:t>
            </w:r>
          </w:p>
        </w:tc>
        <w:tc>
          <w:tcPr/>
          <w:p>
            <w:pPr>
              <w:pStyle w:val="Compact"/>
            </w:pPr>
            <w:r>
              <w:t xml:space="preserve">{{Imediato — bloqueia release}}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Funcionalidade principal inutilizável, sem alternativa</w:t>
            </w:r>
          </w:p>
        </w:tc>
        <w:tc>
          <w:tcPr/>
          <w:p>
            <w:pPr>
              <w:pStyle w:val="Compact"/>
            </w:pPr>
            <w:r>
              <w:t xml:space="preserve">{{≤ 2 dias — bloqueia release}}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Funcionalidade degradada com alternativa</w:t>
            </w:r>
          </w:p>
        </w:tc>
        <w:tc>
          <w:tcPr/>
          <w:p>
            <w:pPr>
              <w:pStyle w:val="Compact"/>
            </w:pPr>
            <w:r>
              <w:t xml:space="preserve">{{≤ 2 semanas}}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Cosmético, irritante</w:t>
            </w:r>
          </w:p>
        </w:tc>
        <w:tc>
          <w:tcPr/>
          <w:p>
            <w:pPr>
              <w:pStyle w:val="Compact"/>
            </w:pPr>
            <w:r>
              <w:t xml:space="preserve">{{Backlog}}</w:t>
            </w:r>
          </w:p>
        </w:tc>
      </w:tr>
    </w:tbl>
    <w:bookmarkEnd w:id="64"/>
    <w:bookmarkStart w:id="68" w:name="ciclo-de-vida"/>
    <w:p>
      <w:pPr>
        <w:pStyle w:val="Heading3"/>
      </w:pPr>
      <w:r>
        <w:t xml:space="preserve">Ciclo de vida</w:t>
      </w:r>
    </w:p>
    <w:p>
      <w:pPr>
        <w:pStyle w:val="FirstParagraph"/>
      </w:pPr>
      <w:r>
        <w:drawing>
          <wp:inline>
            <wp:extent cx="5900399" cy="792108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out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399" cy="7921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modelo-de-registo"/>
    <w:p>
      <w:pPr>
        <w:pStyle w:val="Heading3"/>
      </w:pPr>
      <w:r>
        <w:t xml:space="preserve">Modelo de registo</w:t>
      </w:r>
    </w:p>
    <w:p>
      <w:pPr>
        <w:pStyle w:val="SourceCode"/>
      </w:pPr>
      <w:r>
        <w:rPr>
          <w:rStyle w:val="NormalTok"/>
        </w:rPr>
        <w:t xml:space="preserve">**ID:** BUG-{{nnn}} · **Gravidade:** {{Alta}} · **Ambiente:** {{staging v1.4.2}}</w:t>
      </w:r>
      <w:r>
        <w:br/>
      </w:r>
      <w:r>
        <w:rPr>
          <w:rStyle w:val="NormalTok"/>
        </w:rPr>
        <w:t xml:space="preserve">**Requisito afetado:** {{RF-07}} · **Caso de teste:** {{TC-012}}</w:t>
      </w:r>
      <w:r>
        <w:br/>
      </w:r>
      <w:r>
        <w:br/>
      </w:r>
      <w:r>
        <w:rPr>
          <w:rStyle w:val="NormalTok"/>
        </w:rPr>
        <w:t xml:space="preserve">**Passos:** 1. … 2. … 3. …</w:t>
      </w:r>
      <w:r>
        <w:br/>
      </w:r>
      <w:r>
        <w:rPr>
          <w:rStyle w:val="NormalTok"/>
        </w:rPr>
        <w:t xml:space="preserve">**Esperado:** {{...}}</w:t>
      </w:r>
      <w:r>
        <w:br/>
      </w:r>
      <w:r>
        <w:rPr>
          <w:rStyle w:val="NormalTok"/>
        </w:rPr>
        <w:t xml:space="preserve">**Obtido:** {{...}}</w:t>
      </w:r>
      <w:r>
        <w:br/>
      </w:r>
      <w:r>
        <w:rPr>
          <w:rStyle w:val="NormalTok"/>
        </w:rPr>
        <w:t xml:space="preserve">**Frequência:** Sempre / Intermitente ({{3 em 10}})</w:t>
      </w:r>
      <w:r>
        <w:br/>
      </w:r>
      <w:r>
        <w:rPr>
          <w:rStyle w:val="NormalTok"/>
        </w:rPr>
        <w:t xml:space="preserve">**Evidência:** {{captura, log, trace_id}}</w:t>
      </w:r>
      <w:r>
        <w:br/>
      </w:r>
      <w:r>
        <w:rPr>
          <w:rStyle w:val="NormalTok"/>
        </w:rPr>
        <w:t xml:space="preserve">**Alternativa temporária:** {{...}}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automação"/>
    <w:p>
      <w:pPr>
        <w:pStyle w:val="Heading2"/>
      </w:pPr>
      <w:r>
        <w:t xml:space="preserve">7. Automação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Atual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críticos automatizados</w:t>
            </w:r>
          </w:p>
        </w:tc>
        <w:tc>
          <w:tcPr/>
          <w:p>
            <w:pPr>
              <w:pStyle w:val="Compact"/>
            </w:pPr>
            <w:r>
              <w:t xml:space="preserve">{{60%}}</w:t>
            </w:r>
          </w:p>
        </w:tc>
        <w:tc>
          <w:tcPr/>
          <w:p>
            <w:pPr>
              <w:pStyle w:val="Compact"/>
            </w:pPr>
            <w:r>
              <w:t xml:space="preserve">{{95%}}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da suite no CI</w:t>
            </w:r>
          </w:p>
        </w:tc>
        <w:tc>
          <w:tcPr/>
          <w:p>
            <w:pPr>
              <w:pStyle w:val="Compact"/>
            </w:pPr>
            <w:r>
              <w:t xml:space="preserve">{{8 min}}</w:t>
            </w:r>
          </w:p>
        </w:tc>
        <w:tc>
          <w:tcPr/>
          <w:p>
            <w:pPr>
              <w:pStyle w:val="Compact"/>
            </w:pPr>
            <w:r>
              <w:t xml:space="preserve">{{≤ 10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instáveis (flaky)</w:t>
            </w:r>
          </w:p>
        </w:tc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Política de testes instáveis:</w:t>
      </w:r>
      <w:r>
        <w:t xml:space="preserve"> </w:t>
      </w:r>
      <w:r>
        <w:t xml:space="preserve">um teste instável é um defeito. Marcar, abrir issue, corrigir em ≤ {{1 sprint}}; se não for corrigido, remover — um teste em que não se confia é pior que nenhum.</w:t>
      </w:r>
    </w:p>
    <w:p>
      <w:r>
        <w:pict>
          <v:rect style="width:0;height:1.5pt" o:hralign="center" o:hrstd="t" o:hr="t"/>
        </w:pict>
      </w:r>
    </w:p>
    <w:bookmarkEnd w:id="71"/>
    <w:bookmarkStart w:id="76" w:name="testes-não-funcionais"/>
    <w:p>
      <w:pPr>
        <w:pStyle w:val="Heading2"/>
      </w:pPr>
      <w:r>
        <w:t xml:space="preserve">8. Testes não funcionais</w:t>
      </w:r>
    </w:p>
    <w:bookmarkStart w:id="72" w:name="carga"/>
    <w:p>
      <w:pPr>
        <w:pStyle w:val="Heading3"/>
      </w:pPr>
      <w:r>
        <w:t xml:space="preserve">8.1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normal</w:t>
            </w:r>
          </w:p>
        </w:tc>
        <w:tc>
          <w:tcPr/>
          <w:p>
            <w:pPr>
              <w:pStyle w:val="Compact"/>
            </w:pPr>
            <w:r>
              <w:t xml:space="preserve">{{100 utilizadores, 50 rps}}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p95 ≤ 300 ms; erros &lt; 0,1%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Pico</w:t>
            </w:r>
          </w:p>
        </w:tc>
        <w:tc>
          <w:tcPr/>
          <w:p>
            <w:pPr>
              <w:pStyle w:val="Compact"/>
            </w:pPr>
            <w:r>
              <w:t xml:space="preserve">{{500 utilizadores, 250 rps}}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p95 ≤ 800 ms; erros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Resistência (soak)</w:t>
            </w:r>
          </w:p>
        </w:tc>
        <w:tc>
          <w:tcPr/>
          <w:p>
            <w:pPr>
              <w:pStyle w:val="Compact"/>
            </w:pPr>
            <w:r>
              <w:t xml:space="preserve">{{100 utilizadores}}</w:t>
            </w:r>
          </w:p>
        </w:tc>
        <w:tc>
          <w:tcPr/>
          <w:p>
            <w:pPr>
              <w:pStyle w:val="Compact"/>
            </w:pPr>
            <w:r>
              <w:t xml:space="preserve">8 h</w:t>
            </w:r>
          </w:p>
        </w:tc>
        <w:tc>
          <w:tcPr/>
          <w:p>
            <w:pPr>
              <w:pStyle w:val="Compact"/>
            </w:pPr>
            <w:r>
              <w:t xml:space="preserve">Sem fuga de memória; latência estável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Rutura (stress)</w:t>
            </w:r>
          </w:p>
        </w:tc>
        <w:tc>
          <w:tcPr/>
          <w:p>
            <w:pPr>
              <w:pStyle w:val="Compact"/>
            </w:pPr>
            <w:r>
              <w:t xml:space="preserve">Crescente até falhar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Identificar ponto de rutura e degradar sem corromper dados</w:t>
            </w:r>
          </w:p>
        </w:tc>
      </w:tr>
    </w:tbl>
    <w:bookmarkEnd w:id="72"/>
    <w:bookmarkStart w:id="73" w:name="segurança"/>
    <w:p>
      <w:pPr>
        <w:pStyle w:val="Heading3"/>
      </w:pPr>
      <w:r>
        <w:t xml:space="preserve">8.2 Segurança</w:t>
      </w:r>
    </w:p>
    <w:p>
      <w:pPr>
        <w:pStyle w:val="Compact"/>
        <w:numPr>
          <w:ilvl w:val="0"/>
          <w:numId w:val="1012"/>
        </w:numPr>
      </w:pPr>
      <w:r>
        <w:t xml:space="preserve">SAST no CI · [ ] SCA de dependências · [ ] DAST em staging</w:t>
      </w:r>
    </w:p>
    <w:p>
      <w:pPr>
        <w:pStyle w:val="Compact"/>
        <w:numPr>
          <w:ilvl w:val="0"/>
          <w:numId w:val="1013"/>
        </w:numPr>
      </w:pPr>
      <w:r>
        <w:t xml:space="preserve">Teste de autorização: cada endpoint com token de outro tenant → 403/404</w:t>
      </w:r>
    </w:p>
    <w:p>
      <w:pPr>
        <w:pStyle w:val="Compact"/>
        <w:numPr>
          <w:ilvl w:val="0"/>
          <w:numId w:val="1014"/>
        </w:numPr>
      </w:pPr>
      <w:r>
        <w:t xml:space="preserve">Teste de isolamento multi-tenant em todas as tabelas</w:t>
      </w:r>
    </w:p>
    <w:p>
      <w:pPr>
        <w:pStyle w:val="Compact"/>
        <w:numPr>
          <w:ilvl w:val="0"/>
          <w:numId w:val="1015"/>
        </w:numPr>
      </w:pPr>
      <w:r>
        <w:t xml:space="preserve">{{Pentest externo antes do GA}}</w:t>
      </w:r>
    </w:p>
    <w:bookmarkEnd w:id="73"/>
    <w:bookmarkStart w:id="74" w:name="acessibilidade"/>
    <w:p>
      <w:pPr>
        <w:pStyle w:val="Heading3"/>
      </w:pPr>
      <w:r>
        <w:t xml:space="preserve">8.3 Acessibilidade</w:t>
      </w:r>
    </w:p>
    <w:p>
      <w:pPr>
        <w:pStyle w:val="Compact"/>
        <w:numPr>
          <w:ilvl w:val="0"/>
          <w:numId w:val="1016"/>
        </w:numPr>
      </w:pPr>
      <w:r>
        <w:t xml:space="preserve">Automático (axe) sem violações</w:t>
      </w:r>
    </w:p>
    <w:p>
      <w:pPr>
        <w:pStyle w:val="Compact"/>
        <w:numPr>
          <w:ilvl w:val="0"/>
          <w:numId w:val="1017"/>
        </w:numPr>
      </w:pPr>
      <w:r>
        <w:t xml:space="preserve">Navegação completa por teclado, foco visível, ordem lógica</w:t>
      </w:r>
    </w:p>
    <w:p>
      <w:pPr>
        <w:pStyle w:val="Compact"/>
        <w:numPr>
          <w:ilvl w:val="0"/>
          <w:numId w:val="1018"/>
        </w:numPr>
      </w:pPr>
      <w:r>
        <w:t xml:space="preserve">Leitor de ecrã ({{NVDA/VoiceOver}}) nos percursos críticos</w:t>
      </w:r>
    </w:p>
    <w:p>
      <w:pPr>
        <w:pStyle w:val="Compact"/>
        <w:numPr>
          <w:ilvl w:val="0"/>
          <w:numId w:val="1019"/>
        </w:numPr>
      </w:pPr>
      <w:r>
        <w:t xml:space="preserve">Contraste ≥ 4,5:1 · Zoom 200% sem perda de conteúdo</w:t>
      </w:r>
    </w:p>
    <w:p>
      <w:pPr>
        <w:pStyle w:val="Compact"/>
        <w:numPr>
          <w:ilvl w:val="0"/>
          <w:numId w:val="1020"/>
        </w:numPr>
      </w:pPr>
      <w:r>
        <w:t xml:space="preserve">Formulários com etiquetas e erros associados programaticamente</w:t>
      </w:r>
    </w:p>
    <w:bookmarkEnd w:id="74"/>
    <w:bookmarkStart w:id="75" w:name="recuperação"/>
    <w:p>
      <w:pPr>
        <w:pStyle w:val="Heading3"/>
      </w:pPr>
      <w:r>
        <w:t xml:space="preserve">8.4 Recuperação</w:t>
      </w:r>
    </w:p>
    <w:p>
      <w:pPr>
        <w:pStyle w:val="Compact"/>
        <w:numPr>
          <w:ilvl w:val="0"/>
          <w:numId w:val="1021"/>
        </w:numPr>
      </w:pPr>
      <w:r>
        <w:t xml:space="preserve">Restauro de backup testado ({{trimestral}})</w:t>
      </w:r>
    </w:p>
    <w:p>
      <w:pPr>
        <w:pStyle w:val="Compact"/>
        <w:numPr>
          <w:ilvl w:val="0"/>
          <w:numId w:val="1022"/>
        </w:numPr>
      </w:pPr>
      <w:r>
        <w:t xml:space="preserve">Falha de uma zona de disponibilidade</w:t>
      </w:r>
    </w:p>
    <w:p>
      <w:pPr>
        <w:pStyle w:val="Compact"/>
        <w:numPr>
          <w:ilvl w:val="0"/>
          <w:numId w:val="1023"/>
        </w:numPr>
      </w:pPr>
      <w:r>
        <w:t xml:space="preserve">Dependência externa em baixo → modo degradado conforme especificado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papéis"/>
    <w:p>
      <w:pPr>
        <w:pStyle w:val="Heading2"/>
      </w:pPr>
      <w:r>
        <w:t xml:space="preserve">9. Papéis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{{Programador}}</w:t>
            </w:r>
          </w:p>
        </w:tc>
        <w:tc>
          <w:tcPr/>
          <w:p>
            <w:pPr>
              <w:pStyle w:val="Compact"/>
            </w:pPr>
            <w:r>
              <w:t xml:space="preserve">Testes unitários, de integração e de contrato; corrigir defeitos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{{QA}}</w:t>
            </w:r>
          </w:p>
        </w:tc>
        <w:tc>
          <w:tcPr/>
          <w:p>
            <w:pPr>
              <w:pStyle w:val="Compact"/>
            </w:pPr>
            <w:r>
              <w:t xml:space="preserve">Plano, casos, exploratório, coordenação de UAT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{{PO}}</w:t>
            </w:r>
          </w:p>
        </w:tc>
        <w:tc>
          <w:tcPr/>
          <w:p>
            <w:pPr>
              <w:pStyle w:val="Compact"/>
            </w:pPr>
            <w:r>
              <w:t xml:space="preserve">Aceitação dos critérios; decisão sobre defeitos Médios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{{SRE}}</w:t>
            </w:r>
          </w:p>
        </w:tc>
        <w:tc>
          <w:tcPr/>
          <w:p>
            <w:pPr>
              <w:pStyle w:val="Compact"/>
            </w:pPr>
            <w:r>
              <w:t xml:space="preserve">Carga, caos, recuperação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riscos-do-próprio-processo-de-teste"/>
    <w:p>
      <w:pPr>
        <w:pStyle w:val="Heading2"/>
      </w:pPr>
      <w:r>
        <w:t xml:space="preserve">10. Riscos do próprio processo de teste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{{Staging diverge de produção}}</w:t>
            </w:r>
          </w:p>
        </w:tc>
        <w:tc>
          <w:tcPr/>
          <w:p>
            <w:pPr>
              <w:pStyle w:val="Compact"/>
            </w:pPr>
            <w:r>
              <w:t xml:space="preserve">{{Mesma IaC; comparação de configuração automática}}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de teste não representativos}}</w:t>
            </w:r>
          </w:p>
        </w:tc>
        <w:tc>
          <w:tcPr/>
          <w:p>
            <w:pPr>
              <w:pStyle w:val="Compact"/>
            </w:pPr>
            <w:r>
              <w:t xml:space="preserve">{{Anonimização a partir de produção, mensal}}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{{Tempo de teste comprimido no fim}}</w:t>
            </w:r>
          </w:p>
        </w:tc>
        <w:tc>
          <w:tcPr/>
          <w:p>
            <w:pPr>
              <w:pStyle w:val="Compact"/>
            </w:pPr>
            <w:r>
              <w:t xml:space="preserve">{{Testar continuamente; critérios de saída inegociáveis}}</w:t>
            </w:r>
          </w:p>
        </w:tc>
      </w:tr>
    </w:tbl>
    <w:bookmarkEnd w:id="7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image" Id="rId65" Target="media/rId65.png" /><Relationship Type="http://schemas.openxmlformats.org/officeDocument/2006/relationships/hyperlink" Id="rId62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Testes — {{PROJETO}}</dc:title>
  <dc:creator/>
  <dc:language>pt-PT</dc:language>
  <cp:keywords/>
  <dcterms:created xsi:type="dcterms:W3CDTF">2026-08-24T10:58:36Z</dcterms:created>
  <dcterms:modified xsi:type="dcterms:W3CDTF">2026-08-24T10:58:36Z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