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 de Testes — {{PROJETO}} {{versão}}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{{AAAA-MM-DD}} a {{AAAA-MM-DD}} ·</w:t>
      </w:r>
      <w:r>
        <w:t xml:space="preserve"> </w:t>
      </w:r>
      <w:r>
        <w:rPr>
          <w:b/>
          <w:bCs/>
        </w:rPr>
        <w:t xml:space="preserve">Versão testada:</w:t>
      </w:r>
      <w:r>
        <w:t xml:space="preserve"> </w:t>
      </w:r>
      <w:r>
        <w:t xml:space="preserve">{{x.y.z}}</w:t>
      </w:r>
      <w:r>
        <w:t xml:space="preserve"> </w:t>
      </w:r>
      <w:r>
        <w:rPr>
          <w:b/>
          <w:bCs/>
        </w:rPr>
        <w:t xml:space="preserve">Elabora: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Destinatário:</w:t>
      </w:r>
      <w:r>
        <w:t xml:space="preserve"> </w:t>
      </w:r>
      <w:r>
        <w:t xml:space="preserve">{{PO, patrocinador}}</w:t>
      </w:r>
    </w:p>
    <w:p>
      <w:r>
        <w:pict>
          <v:rect style="width:0;height:1.5pt" o:hralign="center" o:hrstd="t" o:hr="t"/>
        </w:pict>
      </w:r>
    </w:p>
    <w:bookmarkStart w:id="49" w:name="recomendação"/>
    <w:p>
      <w:pPr>
        <w:pStyle w:val="Heading2"/>
      </w:pPr>
      <w:r>
        <w:t xml:space="preserve">1. Recomendação</w:t>
      </w:r>
    </w:p>
    <w:p>
      <w:pPr>
        <w:pStyle w:val="BlockText"/>
      </w:pPr>
      <w:r>
        <w:t xml:space="preserve">A conclusão primeiro. Quem lê isto quer saber se pode ir para produção.</w:t>
      </w:r>
    </w:p>
    <w:p>
      <w:pPr>
        <w:pStyle w:val="FirstParagraph"/>
      </w:pPr>
      <w:r>
        <w:rPr>
          <w:b/>
          <w:bCs/>
        </w:rPr>
        <w:t xml:space="preserve">{{Apto para entrar em serviço | Apto com reservas | Não apto}}</w:t>
      </w:r>
    </w:p>
    <w:p>
      <w:pPr>
        <w:pStyle w:val="BodyText"/>
      </w:pPr>
      <w:r>
        <w:t xml:space="preserve">{{Um parágrafo. Se houver reservas, dizer exactamente quais e o que as levanta.}}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Defeitos de gravidade 1 em aberto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Defeitos de gravidade 2 em aberto</w:t>
            </w:r>
          </w:p>
        </w:tc>
        <w:tc>
          <w:tcPr/>
          <w:p>
            <w:pPr>
              <w:pStyle w:val="Compact"/>
            </w:pPr>
            <w:r>
              <w:t xml:space="preserve">{{2}} — {{aceites com solução de contorno}}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sem cobertura de teste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de desempenho</w:t>
            </w:r>
          </w:p>
        </w:tc>
        <w:tc>
          <w:tcPr/>
          <w:p>
            <w:pPr>
              <w:pStyle w:val="Compact"/>
            </w:pPr>
            <w:r>
              <w:t xml:space="preserve">{{Passaram}}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âmbito-do-que-foi-testado"/>
    <w:p>
      <w:pPr>
        <w:pStyle w:val="Heading2"/>
      </w:pPr>
      <w:r>
        <w:t xml:space="preserve">2. Âmbito do que foi testado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Testado</w:t>
            </w:r>
          </w:p>
        </w:tc>
        <w:tc>
          <w:tcPr/>
          <w:p>
            <w:pPr>
              <w:pStyle w:val="Compact"/>
            </w:pPr>
            <w:r>
              <w:t xml:space="preserve">Não testado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{{Registo de viaturas}}</w:t>
            </w:r>
          </w:p>
        </w:tc>
        <w:tc>
          <w:tcPr/>
          <w:p>
            <w:pPr>
              <w:pStyle w:val="Compact"/>
            </w:pPr>
            <w:r>
              <w:t xml:space="preserve">{{Integração com o ERP}}</w:t>
            </w:r>
          </w:p>
        </w:tc>
        <w:tc>
          <w:tcPr/>
          <w:p>
            <w:pPr>
              <w:pStyle w:val="Compact"/>
            </w:pPr>
            <w:r>
              <w:t xml:space="preserve">{{Ambiente indisponível}}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{{Recuperação de desastre}}</w:t>
            </w:r>
          </w:p>
        </w:tc>
        <w:tc>
          <w:tcPr/>
          <w:p>
            <w:pPr>
              <w:pStyle w:val="Compact"/>
            </w:pPr>
            <w:r>
              <w:t xml:space="preserve">{{Exercício agendado para {{data}}}}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não foi testado é a informação mais importante deste documento</w:t>
      </w:r>
      <w:r>
        <w:t xml:space="preserve">, porque</w:t>
      </w:r>
      <w:r>
        <w:t xml:space="preserve"> </w:t>
      </w:r>
      <w:r>
        <w:t xml:space="preserve">é o que pode falhar sem aviso.</w:t>
      </w:r>
    </w:p>
    <w:p>
      <w:r>
        <w:pict>
          <v:rect style="width:0;height:1.5pt" o:hralign="center" o:hrstd="t" o:hr="t"/>
        </w:pict>
      </w:r>
    </w:p>
    <w:bookmarkEnd w:id="50"/>
    <w:bookmarkStart w:id="51" w:name="execução"/>
    <w:p>
      <w:pPr>
        <w:pStyle w:val="Heading2"/>
      </w:pPr>
      <w:r>
        <w:t xml:space="preserve">3. Execução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Planeados</w:t>
            </w:r>
          </w:p>
        </w:tc>
        <w:tc>
          <w:tcPr/>
          <w:p>
            <w:pPr>
              <w:pStyle w:val="Compact"/>
            </w:pPr>
            <w:r>
              <w:t xml:space="preserve">Executados</w:t>
            </w:r>
          </w:p>
        </w:tc>
        <w:tc>
          <w:tcPr/>
          <w:p>
            <w:pPr>
              <w:pStyle w:val="Compact"/>
            </w:pPr>
            <w:r>
              <w:t xml:space="preserve">Passaram</w:t>
            </w:r>
          </w:p>
        </w:tc>
        <w:tc>
          <w:tcPr/>
          <w:p>
            <w:pPr>
              <w:pStyle w:val="Compact"/>
            </w:pPr>
            <w:r>
              <w:t xml:space="preserve">Falharam</w:t>
            </w:r>
          </w:p>
        </w:tc>
        <w:tc>
          <w:tcPr/>
          <w:p>
            <w:pPr>
              <w:pStyle w:val="Compact"/>
            </w:pPr>
            <w:r>
              <w:t xml:space="preserve">Bloqueados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Unitários</w:t>
            </w:r>
          </w:p>
        </w:tc>
        <w:tc>
          <w:tcPr/>
          <w:p>
            <w:pPr>
              <w:pStyle w:val="Compact"/>
            </w:pPr>
            <w:r>
              <w:t xml:space="preserve">{{412}}</w:t>
            </w:r>
          </w:p>
        </w:tc>
        <w:tc>
          <w:tcPr/>
          <w:p>
            <w:pPr>
              <w:pStyle w:val="Compact"/>
            </w:pPr>
            <w:r>
              <w:t xml:space="preserve">{{412}}</w:t>
            </w:r>
          </w:p>
        </w:tc>
        <w:tc>
          <w:tcPr/>
          <w:p>
            <w:pPr>
              <w:pStyle w:val="Compact"/>
            </w:pPr>
            <w:r>
              <w:t xml:space="preserve">{{412}}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{{86}}</w:t>
            </w:r>
          </w:p>
        </w:tc>
        <w:tc>
          <w:tcPr/>
          <w:p>
            <w:pPr>
              <w:pStyle w:val="Compact"/>
            </w:pPr>
            <w:r>
              <w:t xml:space="preserve">{{86}}</w:t>
            </w:r>
          </w:p>
        </w:tc>
        <w:tc>
          <w:tcPr/>
          <w:p>
            <w:pPr>
              <w:pStyle w:val="Compact"/>
            </w:pPr>
            <w:r>
              <w:t xml:space="preserve">{{84}}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Ponta a ponta</w:t>
            </w:r>
          </w:p>
        </w:tc>
        <w:tc>
          <w:tcPr/>
          <w:p>
            <w:pPr>
              <w:pStyle w:val="Compact"/>
            </w:pPr>
            <w:r>
              <w:t xml:space="preserve">{{24}}</w:t>
            </w:r>
          </w:p>
        </w:tc>
        <w:tc>
          <w:tcPr/>
          <w:p>
            <w:pPr>
              <w:pStyle w:val="Compact"/>
            </w:pPr>
            <w:r>
              <w:t xml:space="preserve">{{24}}</w:t>
            </w:r>
          </w:p>
        </w:tc>
        <w:tc>
          <w:tcPr/>
          <w:p>
            <w:pPr>
              <w:pStyle w:val="Compact"/>
            </w:pPr>
            <w:r>
              <w:t xml:space="preserve">{{23}}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Manuais / exploratórios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{{16}}</w:t>
            </w:r>
          </w:p>
        </w:tc>
        <w:tc>
          <w:tcPr/>
          <w:p>
            <w:pPr>
              <w:pStyle w:val="Compact"/>
            </w:pPr>
            <w:r>
              <w:t xml:space="preserve">{{15}}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 (UAT)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{{11}}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Cobertura de código:</w:t>
      </w:r>
      <w:r>
        <w:t xml:space="preserve"> </w:t>
      </w:r>
      <w:r>
        <w:t xml:space="preserve">{{83%}} ({{linhas}}) ·</w:t>
      </w:r>
      <w:r>
        <w:t xml:space="preserve"> </w:t>
      </w:r>
      <w:r>
        <w:rPr>
          <w:b/>
          <w:bCs/>
        </w:rPr>
        <w:t xml:space="preserve">das regras de negócio: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1"/>
    <w:bookmarkStart w:id="55" w:name="defeitos"/>
    <w:p>
      <w:pPr>
        <w:pStyle w:val="Heading2"/>
      </w:pPr>
      <w:r>
        <w:t xml:space="preserve">4. Defeitos</w:t>
      </w:r>
    </w:p>
    <w:bookmarkStart w:id="52" w:name="por-gravidade"/>
    <w:p>
      <w:pPr>
        <w:pStyle w:val="Heading3"/>
      </w:pPr>
      <w:r>
        <w:t xml:space="preserve">Por gravidade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Abertos</w:t>
            </w:r>
          </w:p>
        </w:tc>
        <w:tc>
          <w:tcPr/>
          <w:p>
            <w:pPr>
              <w:pStyle w:val="Compact"/>
            </w:pPr>
            <w:r>
              <w:t xml:space="preserve">Corrigidos</w:t>
            </w:r>
          </w:p>
        </w:tc>
        <w:tc>
          <w:tcPr/>
          <w:p>
            <w:pPr>
              <w:pStyle w:val="Compact"/>
            </w:pPr>
            <w:r>
              <w:t xml:space="preserve">Em aberto</w:t>
            </w:r>
          </w:p>
        </w:tc>
        <w:tc>
          <w:tcPr/>
          <w:p>
            <w:pPr>
              <w:pStyle w:val="Compact"/>
            </w:pPr>
            <w:r>
              <w:t xml:space="preserve">Aceites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Impede o uso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Grave com contorno</w:t>
            </w:r>
          </w:p>
        </w:tc>
        <w:tc>
          <w:tcPr/>
          <w:p>
            <w:pPr>
              <w:pStyle w:val="Compact"/>
            </w:pPr>
            <w:r>
              <w:t xml:space="preserve">{{7}}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Menor</w:t>
            </w:r>
          </w:p>
        </w:tc>
        <w:tc>
          <w:tcPr/>
          <w:p>
            <w:pPr>
              <w:pStyle w:val="Compact"/>
            </w:pPr>
            <w:r>
              <w:t xml:space="preserve">{{14}}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Cosmético</w:t>
            </w:r>
          </w:p>
        </w:tc>
        <w:tc>
          <w:tcPr/>
          <w:p>
            <w:pPr>
              <w:pStyle w:val="Compact"/>
            </w:pPr>
            <w:r>
              <w:t xml:space="preserve">{{11}}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</w:tr>
    </w:tbl>
    <w:bookmarkEnd w:id="52"/>
    <w:bookmarkStart w:id="53" w:name="em-aberto-no-fecho"/>
    <w:p>
      <w:pPr>
        <w:pStyle w:val="Heading3"/>
      </w:pPr>
      <w:r>
        <w:t xml:space="preserve">Em aberto no fecho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Contorno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{{D-14}}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{{Aceite para esta versão}}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3"/>
    <w:bookmarkStart w:id="54" w:name="onde-estavam"/>
    <w:p>
      <w:pPr>
        <w:pStyle w:val="Heading3"/>
      </w:pPr>
      <w:r>
        <w:t xml:space="preserve">Onde estavam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Defeitos</w:t>
            </w:r>
          </w:p>
        </w:tc>
        <w:tc>
          <w:tcPr/>
          <w:p>
            <w:pPr>
              <w:pStyle w:val="Compact"/>
            </w:pPr>
            <w:r>
              <w:t xml:space="preserve">Comentário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{{Cálculo de custos}}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  <w:tc>
          <w:tcPr/>
          <w:p>
            <w:pPr>
              <w:pStyle w:val="Compact"/>
            </w:pPr>
            <w:r>
              <w:t xml:space="preserve">{{Concentração — vale a pena rever o desenho}}</w:t>
            </w:r>
          </w:p>
        </w:tc>
      </w:tr>
    </w:tbl>
    <w:p>
      <w:pPr>
        <w:pStyle w:val="BlockText"/>
      </w:pPr>
      <w:r>
        <w:t xml:space="preserve">Defeitos concentrados numa área raramente são coincidência. É onde procurar</w:t>
      </w:r>
      <w:r>
        <w:t xml:space="preserve"> </w:t>
      </w:r>
      <w:r>
        <w:t xml:space="preserve">os que ainda não foram encontrados.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astreabilidade"/>
    <w:p>
      <w:pPr>
        <w:pStyle w:val="Heading2"/>
      </w:pPr>
      <w:r>
        <w:t xml:space="preserve">5. 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{{RF-01}}</w:t>
            </w:r>
          </w:p>
        </w:tc>
        <w:tc>
          <w:tcPr/>
          <w:p>
            <w:pPr>
              <w:pStyle w:val="Compact"/>
            </w:pPr>
            <w:r>
              <w:t xml:space="preserve">{{TC-001, TC-002}}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{{RF-07}}</w:t>
            </w:r>
          </w:p>
        </w:tc>
        <w:tc>
          <w:tcPr/>
          <w:p>
            <w:pPr>
              <w:pStyle w:val="Compact"/>
            </w:pPr>
            <w:r>
              <w:t xml:space="preserve">{{TC-018}}</w:t>
            </w:r>
          </w:p>
        </w:tc>
        <w:tc>
          <w:tcPr/>
          <w:p>
            <w:pPr>
              <w:pStyle w:val="Compact"/>
            </w:pPr>
            <w:r>
              <w:t xml:space="preserve">✘ {{falha D-14}}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{{RNF-03}}</w:t>
            </w:r>
          </w:p>
        </w:tc>
        <w:tc>
          <w:tcPr/>
          <w:p>
            <w:pPr>
              <w:pStyle w:val="Compact"/>
            </w:pPr>
            <w:r>
              <w:t xml:space="preserve">{{Carga cenário 1}}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sem teste:</w:t>
      </w:r>
      <w:r>
        <w:t xml:space="preserve"> </w:t>
      </w:r>
      <w:r>
        <w:t xml:space="preserve">{{lista — ou</w:t>
      </w:r>
      <w:r>
        <w:t xml:space="preserve"> </w:t>
      </w:r>
      <w:r>
        <w:t xml:space="preserve">“nenhum”</w:t>
      </w:r>
      <w:r>
        <w:t xml:space="preserve">}}</w:t>
      </w:r>
    </w:p>
    <w:p>
      <w:r>
        <w:pict>
          <v:rect style="width:0;height:1.5pt" o:hralign="center" o:hrstd="t" o:hr="t"/>
        </w:pict>
      </w:r>
    </w:p>
    <w:bookmarkEnd w:id="56"/>
    <w:bookmarkStart w:id="57" w:name="aceitação-pelo-utilizador"/>
    <w:p>
      <w:pPr>
        <w:pStyle w:val="Heading2"/>
      </w:pPr>
      <w:r>
        <w:t xml:space="preserve">6. Aceitação pelo utilizador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Participante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Cenários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{{6/6}}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{{Condutor}}</w:t>
            </w:r>
          </w:p>
        </w:tc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{{5/6}}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Comentários recorrentes: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7"/>
    <w:bookmarkStart w:id="58" w:name="riscos-residuais"/>
    <w:p>
      <w:pPr>
        <w:pStyle w:val="Heading2"/>
      </w:pPr>
      <w:r>
        <w:t xml:space="preserve">7. Riscos residuais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 em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{{Integração com o ERP nunca testada}}</w:t>
            </w:r>
          </w:p>
        </w:tc>
        <w:tc>
          <w:tcPr/>
          <w:p>
            <w:pPr>
              <w:pStyle w:val="Compact"/>
            </w:pPr>
            <w:r>
              <w:t xml:space="preserve">{{Média}}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{{Arranque assistido; reversão pronta}}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nexos"/>
    <w:p>
      <w:pPr>
        <w:pStyle w:val="Heading2"/>
      </w:pPr>
      <w:r>
        <w:t xml:space="preserve">8. Anexos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Anexo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Evidências de execução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completo de defeitos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Resultados de desempenho</w:t>
            </w:r>
          </w:p>
        </w:tc>
        <w:tc>
          <w:tcPr/>
          <w:p>
            <w:pPr>
              <w:pStyle w:val="Compact"/>
            </w:pPr>
            <w:r>
              <w:t xml:space="preserve">{{05-testes-desempenho-carga.md}}</w:t>
            </w:r>
          </w:p>
        </w:tc>
      </w:tr>
    </w:tbl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Testes — {{PROJETO}} {{versão}}</dc:title>
  <dc:creator/>
  <dc:language>pt-PT</dc:language>
  <cp:keywords/>
  <dcterms:created xsi:type="dcterms:W3CDTF">2026-08-24T10:58:37Z</dcterms:created>
  <dcterms:modified xsi:type="dcterms:W3CDTF">2026-08-24T10:58:37Z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