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Monitorização, SLOs e Observabilidade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50" w:name="princípios"/>
    <w:p>
      <w:pPr>
        <w:pStyle w:val="Heading2"/>
      </w:pPr>
      <w:r>
        <w:t xml:space="preserve">1.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Alertar sobre sintomas, não causas.</w:t>
            </w:r>
            <w:r>
              <w:t xml:space="preserve"> </w:t>
            </w:r>
            <w:r>
              <w:t xml:space="preserve">“Os utilizadores veem erros”</w:t>
            </w:r>
            <w:r>
              <w:t xml:space="preserve"> </w:t>
            </w:r>
            <w:r>
              <w:t xml:space="preserve">acorda alguém;</w:t>
            </w:r>
            <w:r>
              <w:t xml:space="preserve"> </w:t>
            </w:r>
            <w:r>
              <w:t xml:space="preserve">“o CPU está a 80%”</w:t>
            </w:r>
            <w:r>
              <w:t xml:space="preserve"> </w:t>
            </w:r>
            <w:r>
              <w:t xml:space="preserve">não.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Todo o alerta que acorda alguém tem de ser</w:t>
            </w:r>
            <w:r>
              <w:t xml:space="preserve"> </w:t>
            </w:r>
            <w:r>
              <w:rPr>
                <w:b/>
                <w:bCs/>
              </w:rPr>
              <w:t xml:space="preserve">acionável</w:t>
            </w:r>
            <w:r>
              <w:t xml:space="preserve"> </w:t>
            </w:r>
            <w:r>
              <w:t xml:space="preserve">e ter entrada no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runbook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Alertas ruidosos são um defeito: se é ignorado, ou se corrige ou se apaga.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SLOs definem o que é</w:t>
            </w:r>
            <w:r>
              <w:t xml:space="preserve"> </w:t>
            </w:r>
            <w:r>
              <w:t xml:space="preserve">“suficientemente bom”</w:t>
            </w:r>
            <w:r>
              <w:t xml:space="preserve"> </w:t>
            </w:r>
            <w:r>
              <w:t xml:space="preserve">— perfeição não é o objetivo, o orçamento de erro 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service-level-objectives"/>
    <w:p>
      <w:pPr>
        <w:pStyle w:val="Heading2"/>
      </w:pPr>
      <w:r>
        <w:t xml:space="preserve">2. Service Level Objectives</w:t>
      </w:r>
    </w:p>
    <w:bookmarkStart w:id="51" w:name="slis-e-slos"/>
    <w:p>
      <w:pPr>
        <w:pStyle w:val="Heading3"/>
      </w:pPr>
      <w:r>
        <w:t xml:space="preserve">2.1 SLIs e SLOs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Definição precisa</w:t>
            </w:r>
          </w:p>
        </w:tc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Orçamento de erro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% de pedidos não-5xx em endpoints críticos</w:t>
            </w:r>
          </w:p>
        </w:tc>
        <w:tc>
          <w:tcPr/>
          <w:p>
            <w:pPr>
              <w:pStyle w:val="Compact"/>
            </w:pPr>
            <w:r>
              <w:t xml:space="preserve">{{99,9%}}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{{43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Latência</w:t>
            </w:r>
          </w:p>
        </w:tc>
        <w:tc>
          <w:tcPr/>
          <w:p>
            <w:pPr>
              <w:pStyle w:val="Compact"/>
            </w:pPr>
            <w:r>
              <w:t xml:space="preserve">% de pedidos servidos em &lt; {{300 ms}}</w:t>
            </w:r>
          </w:p>
        </w:tc>
        <w:tc>
          <w:tcPr/>
          <w:p>
            <w:pPr>
              <w:pStyle w:val="Compact"/>
            </w:pPr>
            <w:r>
              <w:t xml:space="preserve">{{99%}}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{{1% dos pedidos}}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Correção</w:t>
            </w:r>
          </w:p>
        </w:tc>
        <w:tc>
          <w:tcPr/>
          <w:p>
            <w:pPr>
              <w:pStyle w:val="Compact"/>
            </w:pPr>
            <w:r>
              <w:t xml:space="preserve">% de encomendas processadas sem intervenção manual</w:t>
            </w:r>
          </w:p>
        </w:tc>
        <w:tc>
          <w:tcPr/>
          <w:p>
            <w:pPr>
              <w:pStyle w:val="Compact"/>
            </w:pPr>
            <w:r>
              <w:t xml:space="preserve">{{99,5%}}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{{0,5%}}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Frescura</w:t>
            </w:r>
          </w:p>
        </w:tc>
        <w:tc>
          <w:tcPr/>
          <w:p>
            <w:pPr>
              <w:pStyle w:val="Compact"/>
            </w:pPr>
            <w:r>
              <w:t xml:space="preserve">% de sincronizações com ERP com atraso &lt; {{15 min}}</w:t>
            </w:r>
          </w:p>
        </w:tc>
        <w:tc>
          <w:tcPr/>
          <w:p>
            <w:pPr>
              <w:pStyle w:val="Compact"/>
            </w:pPr>
            <w:r>
              <w:t xml:space="preserve">{{99%}}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Endpoints críticos (perímetro do SLO):</w:t>
      </w:r>
      <w:r>
        <w:t xml:space="preserve"> </w:t>
      </w:r>
      <w:r>
        <w:rPr>
          <w:rStyle w:val="VerbatimChar"/>
        </w:rPr>
        <w:t xml:space="preserve">POST /encomendas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/encomendas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/auth/token</w:t>
      </w:r>
      <w:r>
        <w:t xml:space="preserve"> </w:t>
      </w:r>
      <w:r>
        <w:rPr>
          <w:b/>
          <w:bCs/>
        </w:rPr>
        <w:t xml:space="preserve">Fora do perímetro:</w:t>
      </w:r>
      <w:r>
        <w:t xml:space="preserve"> </w:t>
      </w:r>
      <w:r>
        <w:t xml:space="preserve">{{relatórios, exportações}}</w:t>
      </w:r>
    </w:p>
    <w:bookmarkEnd w:id="51"/>
    <w:bookmarkStart w:id="52" w:name="política-de-orçamento-de-erro"/>
    <w:p>
      <w:pPr>
        <w:pStyle w:val="Heading3"/>
      </w:pPr>
      <w:r>
        <w:t xml:space="preserve">2.2 Política de orçamento de erro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Orçamento consumido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50%</w:t>
            </w:r>
          </w:p>
        </w:tc>
        <w:tc>
          <w:tcPr/>
          <w:p>
            <w:pPr>
              <w:pStyle w:val="Compact"/>
            </w:pPr>
            <w:r>
              <w:t xml:space="preserve">Ritmo normal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50–75%</w:t>
            </w:r>
          </w:p>
        </w:tc>
        <w:tc>
          <w:tcPr/>
          <w:p>
            <w:pPr>
              <w:pStyle w:val="Compact"/>
            </w:pPr>
            <w:r>
              <w:t xml:space="preserve">Rever alterações de risco com mais cuidado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75–100%</w:t>
            </w:r>
          </w:p>
        </w:tc>
        <w:tc>
          <w:tcPr/>
          <w:p>
            <w:pPr>
              <w:pStyle w:val="Compact"/>
            </w:pPr>
            <w:r>
              <w:t xml:space="preserve">Congelar funcionalidades novas; prioridade a fiabilidade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 correções de fiabilidade</w:t>
            </w:r>
            <w:r>
              <w:t xml:space="preserve"> </w:t>
            </w:r>
            <w:r>
              <w:t xml:space="preserve">até recuperar</w:t>
            </w:r>
          </w:p>
        </w:tc>
      </w:tr>
    </w:tbl>
    <w:bookmarkEnd w:id="52"/>
    <w:bookmarkStart w:id="53" w:name="alertas-de-consumo-burn-rate"/>
    <w:p>
      <w:pPr>
        <w:pStyle w:val="Heading3"/>
      </w:pPr>
      <w:r>
        <w:t xml:space="preserve">2.3 Alertas de consumo (burn 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Velocidade</w:t>
            </w:r>
          </w:p>
        </w:tc>
        <w:tc>
          <w:tcPr/>
          <w:p>
            <w:pPr>
              <w:pStyle w:val="Compact"/>
            </w:pPr>
            <w:r>
              <w:t xml:space="preserve">Consome o orçamento em</w:t>
            </w:r>
          </w:p>
        </w:tc>
        <w:tc>
          <w:tcPr/>
          <w:p>
            <w:pPr>
              <w:pStyle w:val="Compact"/>
            </w:pPr>
            <w:r>
              <w:t xml:space="preserve">Janela de deteção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14,4×</w:t>
            </w:r>
          </w:p>
        </w:tc>
        <w:tc>
          <w:tcPr/>
          <w:p>
            <w:pPr>
              <w:pStyle w:val="Compact"/>
            </w:pPr>
            <w:r>
              <w:t xml:space="preserve">{{2 dias}}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Página (acorda)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6×</w:t>
            </w:r>
          </w:p>
        </w:tc>
        <w:tc>
          <w:tcPr/>
          <w:p>
            <w:pPr>
              <w:pStyle w:val="Compact"/>
            </w:pPr>
            <w:r>
              <w:t xml:space="preserve">{{5 dias}}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3×</w:t>
            </w:r>
          </w:p>
        </w:tc>
        <w:tc>
          <w:tcPr/>
          <w:p>
            <w:pPr>
              <w:pStyle w:val="Compact"/>
            </w:pPr>
            <w:r>
              <w:t xml:space="preserve">{{10 dias}}</w:t>
            </w:r>
          </w:p>
        </w:tc>
        <w:tc>
          <w:tcPr/>
          <w:p>
            <w:pPr>
              <w:pStyle w:val="Compact"/>
            </w:pPr>
            <w: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</w:p>
        </w:tc>
        <w:tc>
          <w:tcPr/>
          <w:p>
            <w:pPr>
              <w:pStyle w:val="Compact"/>
            </w:pPr>
            <w:r>
              <w:t xml:space="preserve">{{30 dias}}</w:t>
            </w:r>
          </w:p>
        </w:tc>
        <w:tc>
          <w:tcPr/>
          <w:p>
            <w:pPr>
              <w:pStyle w:val="Compact"/>
            </w:pPr>
            <w:r>
              <w:t xml:space="preserve">72 h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os-quatro-sinais-de-ouro"/>
    <w:p>
      <w:pPr>
        <w:pStyle w:val="Heading2"/>
      </w:pPr>
      <w:r>
        <w:t xml:space="preserve">3. Os quatro sinais de ouro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Latência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http_request_duration_seconds</w:t>
            </w:r>
            <w:r>
              <w:t xml:space="preserve"> </w:t>
            </w:r>
            <w:r>
              <w:t xml:space="preserve">(histograma, por rota e código)</w:t>
            </w:r>
          </w:p>
        </w:tc>
        <w:tc>
          <w:tcPr/>
          <w:p>
            <w:pPr>
              <w:pStyle w:val="Compact"/>
            </w:pPr>
            <w:r>
              <w:t xml:space="preserve">p95 &gt; {{1 s}} durante 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Tráfego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http_requests_total</w:t>
            </w:r>
            <w:r>
              <w:t xml:space="preserve"> </w:t>
            </w:r>
            <w:r>
              <w:t xml:space="preserve">(por rota, método, código)</w:t>
            </w:r>
          </w:p>
        </w:tc>
        <w:tc>
          <w:tcPr/>
          <w:p>
            <w:pPr>
              <w:pStyle w:val="Compact"/>
            </w:pPr>
            <w:r>
              <w:t xml:space="preserve">Queda &gt; {{50%}} face à semana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http_requests_total{status=~"5.."}</w:t>
            </w:r>
          </w:p>
        </w:tc>
        <w:tc>
          <w:tcPr/>
          <w:p>
            <w:pPr>
              <w:pStyle w:val="Compact"/>
            </w:pPr>
            <w:r>
              <w:t xml:space="preserve">Taxa &gt; {{0,5%}} durante 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Saturação</w:t>
            </w:r>
          </w:p>
        </w:tc>
        <w:tc>
          <w:tcPr/>
          <w:p>
            <w:pPr>
              <w:pStyle w:val="Compact"/>
            </w:pPr>
            <w:r>
              <w:t xml:space="preserve">CPU, memória, ligações à BD, profundidade de fila</w:t>
            </w:r>
          </w:p>
        </w:tc>
        <w:tc>
          <w:tcPr/>
          <w:p>
            <w:pPr>
              <w:pStyle w:val="Compact"/>
            </w:pPr>
            <w:r>
              <w:t xml:space="preserve">Pool de ligações &gt; {{80%}}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métricas-de-negócio"/>
    <w:p>
      <w:pPr>
        <w:pStyle w:val="Heading2"/>
      </w:pPr>
      <w:r>
        <w:t xml:space="preserve">4. Métricas de negócio</w:t>
      </w:r>
    </w:p>
    <w:p>
      <w:pPr>
        <w:pStyle w:val="BlockText"/>
      </w:pPr>
      <w:r>
        <w:t xml:space="preserve">Frequentemente detetam problemas que as métricas técnicas não veem: tudo responde 200, mas ninguém consegue concluir uma compra.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Encomendas criadas/hora</w:t>
            </w:r>
          </w:p>
        </w:tc>
        <w:tc>
          <w:tcPr/>
          <w:p>
            <w:pPr>
              <w:pStyle w:val="Compact"/>
            </w:pPr>
            <w:r>
              <w:t xml:space="preserve">{{40–120}} (padrão diário)</w:t>
            </w:r>
          </w:p>
        </w:tc>
        <w:tc>
          <w:tcPr/>
          <w:p>
            <w:pPr>
              <w:pStyle w:val="Compact"/>
            </w:pPr>
            <w:r>
              <w:t xml:space="preserve">Desvio &gt; {{50%}} do esperado para a 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conclusão do fluxo</w:t>
            </w:r>
          </w:p>
        </w:tc>
        <w:tc>
          <w:tcPr/>
          <w:p>
            <w:pPr>
              <w:pStyle w:val="Compact"/>
            </w:pPr>
            <w:r>
              <w:t xml:space="preserve">{{&gt; 85%}}</w:t>
            </w:r>
          </w:p>
        </w:tc>
        <w:tc>
          <w:tcPr/>
          <w:p>
            <w:pPr>
              <w:pStyle w:val="Compact"/>
            </w:pPr>
            <w:r>
              <w:t xml:space="preserve">&lt; {{70%}} durante 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Autenticações falhadas / total</w:t>
            </w:r>
          </w:p>
        </w:tc>
        <w:tc>
          <w:tcPr/>
          <w:p>
            <w:pPr>
              <w:pStyle w:val="Compact"/>
            </w:pPr>
            <w:r>
              <w:t xml:space="preserve">{{&lt; 5%}}</w:t>
            </w:r>
          </w:p>
        </w:tc>
        <w:tc>
          <w:tcPr/>
          <w:p>
            <w:pPr>
              <w:pStyle w:val="Compact"/>
            </w:pPr>
            <w:r>
              <w:t xml:space="preserve">&gt; {{20%}} (possível problema no IdP ou ataque)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Encomendas em aprovação pendente</w:t>
            </w:r>
          </w:p>
        </w:tc>
        <w:tc>
          <w:tcPr/>
          <w:p>
            <w:pPr>
              <w:pStyle w:val="Compact"/>
            </w:pPr>
            <w:r>
              <w:t xml:space="preserve">{{&lt; 20}}</w:t>
            </w:r>
          </w:p>
        </w:tc>
        <w:tc>
          <w:tcPr/>
          <w:p>
            <w:pPr>
              <w:pStyle w:val="Compact"/>
            </w:pPr>
            <w:r>
              <w:t xml:space="preserve">&gt; {{100}}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 de sincronização com ERP</w:t>
            </w:r>
          </w:p>
        </w:tc>
        <w:tc>
          <w:tcPr/>
          <w:p>
            <w:pPr>
              <w:pStyle w:val="Compact"/>
            </w:pPr>
            <w:r>
              <w:t xml:space="preserve">{{&lt; 2 min}}</w:t>
            </w:r>
          </w:p>
        </w:tc>
        <w:tc>
          <w:tcPr/>
          <w:p>
            <w:pPr>
              <w:pStyle w:val="Compact"/>
            </w:pPr>
            <w:r>
              <w:t xml:space="preserve">&gt; {{15 min}}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logs"/>
    <w:p>
      <w:pPr>
        <w:pStyle w:val="Heading2"/>
      </w:pPr>
      <w:r>
        <w:t xml:space="preserve">5. 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JSON estruturado, uma linha por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Campos obrigatórios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(ISO 8601 UTC),</w:t>
            </w:r>
            <w:r>
              <w:t xml:space="preserve"> </w:t>
            </w:r>
            <w:r>
              <w:rPr>
                <w:rStyle w:val="VerbatimChar"/>
              </w:rPr>
              <w:t xml:space="preserve">nivel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mensagem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propagado por todas as chamadas (W3C Trace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{{Quentes 30 dias · frios 1 ano · auditoria {{7 anos}}}}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Amostragem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amostrado a 1% em produção;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sempre completo}}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registar</w:t>
            </w:r>
          </w:p>
        </w:tc>
        <w:tc>
          <w:tcPr/>
          <w:p>
            <w:pPr>
              <w:pStyle w:val="Compact"/>
            </w:pPr>
            <w:r>
              <w:t xml:space="preserve">Palavras-passe, tokens, cartões, dados pessoais em claro, payloads completos de clientes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tracing-distribuído"/>
    <w:p>
      <w:pPr>
        <w:pStyle w:val="Heading2"/>
      </w:pPr>
      <w:r>
        <w:t xml:space="preserve">6. Tracing distribuído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OpenTelemetry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Amostragem</w:t>
            </w:r>
          </w:p>
        </w:tc>
        <w:tc>
          <w:tcPr/>
          <w:p>
            <w:pPr>
              <w:pStyle w:val="Compact"/>
            </w:pPr>
            <w:r>
              <w:t xml:space="preserve">{{100% de escritas e erros; 5% de leituras}}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{{7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Atributos obrigatórios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(pseudonimizado),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db.statement</w:t>
            </w:r>
            <w:r>
              <w:t xml:space="preserve"> </w:t>
            </w:r>
            <w:r>
              <w:t xml:space="preserve">(sanitizado)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2" w:name="painéis"/>
    <w:p>
      <w:pPr>
        <w:pStyle w:val="Heading2"/>
      </w:pPr>
      <w:r>
        <w:t xml:space="preserve">7. Painéis</w:t>
      </w:r>
    </w:p>
    <w:bookmarkStart w:id="59" w:name="painel-de-serviço-uso-diário"/>
    <w:p>
      <w:pPr>
        <w:pStyle w:val="Heading3"/>
      </w:pPr>
      <w:r>
        <w:t xml:space="preserve">7.1 Painel de serviço (uso diário)</w:t>
      </w:r>
    </w:p>
    <w:p>
      <w:pPr>
        <w:pStyle w:val="Compact"/>
        <w:numPr>
          <w:ilvl w:val="0"/>
          <w:numId w:val="1001"/>
        </w:numPr>
      </w:pPr>
      <w:r>
        <w:t xml:space="preserve">SLO e orçamento de erro restante</w:t>
      </w:r>
    </w:p>
    <w:p>
      <w:pPr>
        <w:pStyle w:val="Compact"/>
        <w:numPr>
          <w:ilvl w:val="0"/>
          <w:numId w:val="1001"/>
        </w:numPr>
      </w:pPr>
      <w:r>
        <w:t xml:space="preserve">Os quatro sinais de ouro</w:t>
      </w:r>
    </w:p>
    <w:p>
      <w:pPr>
        <w:pStyle w:val="Compact"/>
        <w:numPr>
          <w:ilvl w:val="0"/>
          <w:numId w:val="1001"/>
        </w:numPr>
      </w:pPr>
      <w:r>
        <w:t xml:space="preserve">Métricas de negócio principais</w:t>
      </w:r>
    </w:p>
    <w:p>
      <w:pPr>
        <w:pStyle w:val="Compact"/>
        <w:numPr>
          <w:ilvl w:val="0"/>
          <w:numId w:val="1001"/>
        </w:numPr>
      </w:pPr>
      <w:r>
        <w:t xml:space="preserve">Estado das dependências externas</w:t>
      </w:r>
    </w:p>
    <w:p>
      <w:pPr>
        <w:pStyle w:val="Compact"/>
        <w:numPr>
          <w:ilvl w:val="0"/>
          <w:numId w:val="1001"/>
        </w:numPr>
      </w:pPr>
      <w:r>
        <w:t xml:space="preserve">Deploys recentes (marcadores sobre os gráficos)</w:t>
      </w:r>
    </w:p>
    <w:bookmarkEnd w:id="59"/>
    <w:bookmarkStart w:id="60" w:name="painel-de-incidente-durante-um-p1"/>
    <w:p>
      <w:pPr>
        <w:pStyle w:val="Heading3"/>
      </w:pPr>
      <w:r>
        <w:t xml:space="preserve">7.2 Painel de incidente (durante um P1)</w:t>
      </w:r>
    </w:p>
    <w:p>
      <w:pPr>
        <w:pStyle w:val="Compact"/>
        <w:numPr>
          <w:ilvl w:val="0"/>
          <w:numId w:val="1002"/>
        </w:numPr>
      </w:pPr>
      <w:r>
        <w:t xml:space="preserve">Taxa de erro por endpoint (últimos 60 min)</w:t>
      </w:r>
    </w:p>
    <w:p>
      <w:pPr>
        <w:pStyle w:val="Compact"/>
        <w:numPr>
          <w:ilvl w:val="0"/>
          <w:numId w:val="1002"/>
        </w:numPr>
      </w:pPr>
      <w:r>
        <w:t xml:space="preserve">Latência por endpoint</w:t>
      </w:r>
    </w:p>
    <w:p>
      <w:pPr>
        <w:pStyle w:val="Compact"/>
        <w:numPr>
          <w:ilvl w:val="0"/>
          <w:numId w:val="1002"/>
        </w:numPr>
      </w:pPr>
      <w:r>
        <w:t xml:space="preserve">Erros por causa (agrupados)</w:t>
      </w:r>
    </w:p>
    <w:p>
      <w:pPr>
        <w:pStyle w:val="Compact"/>
        <w:numPr>
          <w:ilvl w:val="0"/>
          <w:numId w:val="1002"/>
        </w:numPr>
      </w:pPr>
      <w:r>
        <w:t xml:space="preserve">Saúde das dependências</w:t>
      </w:r>
    </w:p>
    <w:p>
      <w:pPr>
        <w:pStyle w:val="Compact"/>
        <w:numPr>
          <w:ilvl w:val="0"/>
          <w:numId w:val="1002"/>
        </w:numPr>
      </w:pPr>
      <w:r>
        <w:t xml:space="preserve">Últimos 5 deploys e alterações de configuração</w:t>
      </w:r>
    </w:p>
    <w:bookmarkEnd w:id="60"/>
    <w:bookmarkStart w:id="61" w:name="painel-de-negócio-para-o-po"/>
    <w:p>
      <w:pPr>
        <w:pStyle w:val="Heading3"/>
      </w:pPr>
      <w:r>
        <w:t xml:space="preserve">7.3 Painel de negócio (para o PO)</w:t>
      </w:r>
    </w:p>
    <w:p>
      <w:pPr>
        <w:pStyle w:val="FirstParagraph"/>
      </w:pPr>
      <w:r>
        <w:t xml:space="preserve">{{Encomendas, receita, utilizadores ativos, funil de conversão}}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catálogo-de-alertas"/>
    <w:p>
      <w:pPr>
        <w:pStyle w:val="Heading2"/>
      </w:pPr>
      <w:r>
        <w:t xml:space="preserve">8. Catálogo de alertas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Alerta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Runbook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SLO_BURN_RAPIDO</w:t>
            </w:r>
          </w:p>
        </w:tc>
        <w:tc>
          <w:tcPr/>
          <w:p>
            <w:pPr>
              <w:pStyle w:val="Compact"/>
            </w:pPr>
            <w:r>
              <w:t xml:space="preserve">Burn rate 14,4× em 1 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ALTA_TAXA_ERRO_5XX</w:t>
            </w:r>
          </w:p>
        </w:tc>
        <w:tc>
          <w:tcPr/>
          <w:p>
            <w:pPr>
              <w:pStyle w:val="Compact"/>
            </w:pPr>
            <w:r>
              <w:t xml:space="preserve">&gt; 2% durante 5 min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LATENCIA_ALTA</w:t>
            </w:r>
          </w:p>
        </w:tc>
        <w:tc>
          <w:tcPr/>
          <w:p>
            <w:pPr>
              <w:pStyle w:val="Compact"/>
            </w:pPr>
            <w:r>
              <w:t xml:space="preserve">p95 &gt; 1 s durante 10 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FILA_ACUMULADA</w:t>
            </w:r>
          </w:p>
        </w:tc>
        <w:tc>
          <w:tcPr/>
          <w:p>
            <w:pPr>
              <w:pStyle w:val="Compact"/>
            </w:pPr>
            <w:r>
              <w:t xml:space="preserve">&gt; 1000 pendentes 15 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TRAFEGO_ANORMAL</w:t>
            </w:r>
          </w:p>
        </w:tc>
        <w:tc>
          <w:tcPr/>
          <w:p>
            <w:pPr>
              <w:pStyle w:val="Compact"/>
            </w:pPr>
            <w:r>
              <w:t xml:space="preserve">Queda &gt; 50% vs semana anterior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ESPACO_DISCO_BAIXO</w:t>
            </w:r>
          </w:p>
        </w:tc>
        <w:tc>
          <w:tcPr/>
          <w:p>
            <w:pPr>
              <w:pStyle w:val="Compact"/>
            </w:pPr>
            <w:r>
              <w:t xml:space="preserve">&lt; 15% livre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CERTIFICADO_A_EXPIRAR</w:t>
            </w:r>
          </w:p>
        </w:tc>
        <w:tc>
          <w:tcPr/>
          <w:p>
            <w:pPr>
              <w:pStyle w:val="Compact"/>
            </w:pPr>
            <w:r>
              <w:t xml:space="preserve">&lt; 21 dias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DEPENDENCIA_EM_BAIXO</w:t>
            </w:r>
          </w:p>
        </w:tc>
        <w:tc>
          <w:tcPr/>
          <w:p>
            <w:pPr>
              <w:pStyle w:val="Compact"/>
            </w:pPr>
            <w:r>
              <w:t xml:space="preserve">Circuit breaker aberto &gt; 5 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BACKUP_FALHOU</w:t>
            </w:r>
          </w:p>
        </w:tc>
        <w:tc>
          <w:tcPr/>
          <w:p>
            <w:pPr>
              <w:pStyle w:val="Compact"/>
            </w:pPr>
            <w:r>
              <w:t xml:space="preserve">Sem backup bem-sucedido em 26 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→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Revisão mensal de alertas</w:t>
      </w:r>
      <w:r>
        <w:t xml:space="preserve"> </w:t>
      </w:r>
      <w:r>
        <w:t xml:space="preserve">| Alerta | Disparos | Acionáveis | Falsos positivos | Decisão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{{…}} | {{12}} | {{2}} | {{10}} | {{Ajustar limiar / remover}} |</w:t>
      </w:r>
    </w:p>
    <w:p>
      <w:r>
        <w:pict>
          <v:rect style="width:0;height:1.5pt" o:hralign="center" o:hrstd="t" o:hr="t"/>
        </w:pict>
      </w:r>
    </w:p>
    <w:bookmarkEnd w:id="70"/>
    <w:bookmarkStart w:id="71" w:name="on-call"/>
    <w:p>
      <w:pPr>
        <w:pStyle w:val="Heading2"/>
      </w:pPr>
      <w:r>
        <w:t xml:space="preserve">9. On-call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{{Semanal, {{n}} pessoas}}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{{24/7 para P1; horário laboral para P2}}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reconhecimento</w:t>
            </w:r>
          </w:p>
        </w:tc>
        <w:tc>
          <w:tcPr/>
          <w:p>
            <w:pPr>
              <w:pStyle w:val="Compact"/>
            </w:pPr>
            <w:r>
              <w:t xml:space="preserve">{{≤ 5 min para P1}}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Passagem de turno</w:t>
            </w:r>
          </w:p>
        </w:tc>
        <w:tc>
          <w:tcPr/>
          <w:p>
            <w:pPr>
              <w:pStyle w:val="Compact"/>
            </w:pPr>
            <w:r>
              <w:t xml:space="preserve">{{Reunião de 15 min: incidentes abertos, alertas ruidosos, alterações planeadas}}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aceitável</w:t>
            </w:r>
          </w:p>
        </w:tc>
        <w:tc>
          <w:tcPr/>
          <w:p>
            <w:pPr>
              <w:pStyle w:val="Compact"/>
            </w:pPr>
            <w:r>
              <w:t xml:space="preserve">{{≤ 2 interrupções fora de horas por turno; acima disso é problema de fiabilidade a corrigir}}</w:t>
            </w:r>
          </w:p>
        </w:tc>
      </w:tr>
    </w:tbl>
    <w:bookmarkEnd w:id="7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02-runbook.md" TargetMode="External" /><Relationship Type="http://schemas.openxmlformats.org/officeDocument/2006/relationships/hyperlink" Id="rId63" Target="02-runbook.md#5-alertas--o-que-fazer" TargetMode="External" /><Relationship Type="http://schemas.openxmlformats.org/officeDocument/2006/relationships/hyperlink" Id="rId64" Target="02-runbook.md#alta_taxa_erro_5xx" TargetMode="External" /><Relationship Type="http://schemas.openxmlformats.org/officeDocument/2006/relationships/hyperlink" Id="rId68" Target="02-runbook.md#certificado_a_expirar" TargetMode="External" /><Relationship Type="http://schemas.openxmlformats.org/officeDocument/2006/relationships/hyperlink" Id="rId67" Target="02-runbook.md#espaco_disco_baixo" TargetMode="External" /><Relationship Type="http://schemas.openxmlformats.org/officeDocument/2006/relationships/hyperlink" Id="rId66" Target="02-runbook.md#fila_acumulada" TargetMode="External" /><Relationship Type="http://schemas.openxmlformats.org/officeDocument/2006/relationships/hyperlink" Id="rId65" Target="02-runbook.md#latencia_alta" TargetMode="External" /><Relationship Type="http://schemas.openxmlformats.org/officeDocument/2006/relationships/hyperlink" Id="rId69" Target="05-backup-d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02-runbook.md" TargetMode="External" /><Relationship Type="http://schemas.openxmlformats.org/officeDocument/2006/relationships/hyperlink" Id="rId63" Target="02-runbook.md#5-alertas--o-que-fazer" TargetMode="External" /><Relationship Type="http://schemas.openxmlformats.org/officeDocument/2006/relationships/hyperlink" Id="rId64" Target="02-runbook.md#alta_taxa_erro_5xx" TargetMode="External" /><Relationship Type="http://schemas.openxmlformats.org/officeDocument/2006/relationships/hyperlink" Id="rId68" Target="02-runbook.md#certificado_a_expirar" TargetMode="External" /><Relationship Type="http://schemas.openxmlformats.org/officeDocument/2006/relationships/hyperlink" Id="rId67" Target="02-runbook.md#espaco_disco_baixo" TargetMode="External" /><Relationship Type="http://schemas.openxmlformats.org/officeDocument/2006/relationships/hyperlink" Id="rId66" Target="02-runbook.md#fila_acumulada" TargetMode="External" /><Relationship Type="http://schemas.openxmlformats.org/officeDocument/2006/relationships/hyperlink" Id="rId65" Target="02-runbook.md#latencia_alta" TargetMode="External" /><Relationship Type="http://schemas.openxmlformats.org/officeDocument/2006/relationships/hyperlink" Id="rId69" Target="05-backup-d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Monitorização, SLOs e Observabilidade</dc:title>
  <dc:creator/>
  <dc:language>pt-PT</dc:language>
  <cp:keywords/>
  <dcterms:created xsi:type="dcterms:W3CDTF">2026-08-24T10:58:39Z</dcterms:created>
  <dcterms:modified xsi:type="dcterms:W3CDTF">2026-08-24T10:58:39Z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