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 de Capacidade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 ·</w:t>
      </w:r>
      <w:r>
        <w:t xml:space="preserve"> </w:t>
      </w:r>
      <w:r>
        <w:rPr>
          <w:b/>
          <w:bCs/>
        </w:rPr>
        <w:t xml:space="preserve">Revisão:</w:t>
      </w:r>
      <w:r>
        <w:t xml:space="preserve"> </w:t>
      </w:r>
      <w:r>
        <w:t xml:space="preserve">{{trimestral}}</w:t>
      </w:r>
    </w:p>
    <w:p>
      <w:r>
        <w:pict>
          <v:rect style="width:0;height:1.5pt" o:hralign="center" o:hrstd="t" o:hr="t"/>
        </w:pict>
      </w:r>
    </w:p>
    <w:bookmarkStart w:id="49" w:name="para-que-serve"/>
    <w:p>
      <w:pPr>
        <w:pStyle w:val="Heading2"/>
      </w:pPr>
      <w:r>
        <w:t xml:space="preserve">1. Para que serve</w:t>
      </w:r>
    </w:p>
    <w:p>
      <w:pPr>
        <w:pStyle w:val="FirstParagraph"/>
      </w:pPr>
      <w:r>
        <w:t xml:space="preserve">Responder a duas perguntas antes de elas serem urgentes:</w:t>
      </w:r>
      <w:r>
        <w:t xml:space="preserve"> </w:t>
      </w:r>
      <w:r>
        <w:rPr>
          <w:b/>
          <w:bCs/>
        </w:rPr>
        <w:t xml:space="preserve">quando é que isto</w:t>
      </w:r>
      <w:r>
        <w:rPr>
          <w:b/>
          <w:bCs/>
        </w:rPr>
        <w:t xml:space="preserve"> </w:t>
      </w:r>
      <w:r>
        <w:rPr>
          <w:b/>
          <w:bCs/>
        </w:rPr>
        <w:t xml:space="preserve">deixa de chegar?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 que se faz nessa altura?</w:t>
      </w:r>
    </w:p>
    <w:p>
      <w:pPr>
        <w:pStyle w:val="BodyText"/>
      </w:pPr>
      <w:r>
        <w:t xml:space="preserve">Um sistema que fica sem espaço em disco às 3 da manhã de um domingo custa muito</w:t>
      </w:r>
      <w:r>
        <w:t xml:space="preserve"> </w:t>
      </w:r>
      <w:r>
        <w:t xml:space="preserve">mais do que o disco que faltou.</w:t>
      </w:r>
    </w:p>
    <w:p>
      <w:r>
        <w:pict>
          <v:rect style="width:0;height:1.5pt" o:hralign="center" o:hrstd="t" o:hr="t"/>
        </w:pict>
      </w:r>
    </w:p>
    <w:bookmarkEnd w:id="49"/>
    <w:bookmarkStart w:id="50" w:name="situação-atual"/>
    <w:p>
      <w:pPr>
        <w:pStyle w:val="Heading2"/>
      </w:pPr>
      <w:r>
        <w:t xml:space="preserve">2. Situação atual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Capacidade</w:t>
            </w:r>
          </w:p>
        </w:tc>
        <w:tc>
          <w:tcPr/>
          <w:p>
            <w:pPr>
              <w:pStyle w:val="Compact"/>
            </w:pPr>
            <w:r>
              <w:t xml:space="preserve">Uso atual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Limite de alerta</w:t>
            </w:r>
          </w:p>
        </w:tc>
        <w:tc>
          <w:tcPr/>
          <w:p>
            <w:pPr>
              <w:pStyle w:val="Compact"/>
            </w:pPr>
            <w:r>
              <w:t xml:space="preserve">Margem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{{2 vCPU}}</w:t>
            </w:r>
          </w:p>
        </w:tc>
        <w:tc>
          <w:tcPr/>
          <w:p>
            <w:pPr>
              <w:pStyle w:val="Compact"/>
            </w:pPr>
            <w:r>
              <w:t xml:space="preserve">{{0,6}}</w:t>
            </w:r>
          </w:p>
        </w:tc>
        <w:tc>
          <w:tcPr/>
          <w:p>
            <w:pPr>
              <w:pStyle w:val="Compact"/>
            </w:pPr>
            <w:r>
              <w:t xml:space="preserve">{{30%}}</w:t>
            </w:r>
          </w:p>
        </w:tc>
        <w:tc>
          <w:tcPr/>
          <w:p>
            <w:pPr>
              <w:pStyle w:val="Compact"/>
            </w:pPr>
            <w:r>
              <w:t xml:space="preserve">{{70%}}</w:t>
            </w:r>
          </w:p>
        </w:tc>
        <w:tc>
          <w:tcPr/>
          <w:p>
            <w:pPr>
              <w:pStyle w:val="Compact"/>
            </w:pPr>
            <w:r>
              <w:t xml:space="preserve">{{OK}}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Memória</w:t>
            </w:r>
          </w:p>
        </w:tc>
        <w:tc>
          <w:tcPr/>
          <w:p>
            <w:pPr>
              <w:pStyle w:val="Compact"/>
            </w:pPr>
            <w:r>
              <w:t xml:space="preserve">{{4 GB}}</w:t>
            </w:r>
          </w:p>
        </w:tc>
        <w:tc>
          <w:tcPr/>
          <w:p>
            <w:pPr>
              <w:pStyle w:val="Compact"/>
            </w:pPr>
            <w:r>
              <w:t xml:space="preserve">{{2,4 GB}}</w:t>
            </w:r>
          </w:p>
        </w:tc>
        <w:tc>
          <w:tcPr/>
          <w:p>
            <w:pPr>
              <w:pStyle w:val="Compact"/>
            </w:pPr>
            <w:r>
              <w:t xml:space="preserve">{{60%}}</w:t>
            </w:r>
          </w:p>
        </w:tc>
        <w:tc>
          <w:tcPr/>
          <w:p>
            <w:pPr>
              <w:pStyle w:val="Compact"/>
            </w:pPr>
            <w:r>
              <w:t xml:space="preserve">{{80%}}</w:t>
            </w:r>
          </w:p>
        </w:tc>
        <w:tc>
          <w:tcPr/>
          <w:p>
            <w:pPr>
              <w:pStyle w:val="Compact"/>
            </w:pPr>
            <w:r>
              <w:t xml:space="preserve">{{OK}}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— dados</w:t>
            </w:r>
          </w:p>
        </w:tc>
        <w:tc>
          <w:tcPr/>
          <w:p>
            <w:pPr>
              <w:pStyle w:val="Compact"/>
            </w:pPr>
            <w:r>
              <w:t xml:space="preserve">{{50 GB}}</w:t>
            </w:r>
          </w:p>
        </w:tc>
        <w:tc>
          <w:tcPr/>
          <w:p>
            <w:pPr>
              <w:pStyle w:val="Compact"/>
            </w:pPr>
            <w:r>
              <w:t xml:space="preserve">{{18 GB}}</w:t>
            </w:r>
          </w:p>
        </w:tc>
        <w:tc>
          <w:tcPr/>
          <w:p>
            <w:pPr>
              <w:pStyle w:val="Compact"/>
            </w:pPr>
            <w:r>
              <w:t xml:space="preserve">{{36%}}</w:t>
            </w:r>
          </w:p>
        </w:tc>
        <w:tc>
          <w:tcPr/>
          <w:p>
            <w:pPr>
              <w:pStyle w:val="Compact"/>
            </w:pPr>
            <w:r>
              <w:t xml:space="preserve">{{75%}}</w:t>
            </w:r>
          </w:p>
        </w:tc>
        <w:tc>
          <w:tcPr/>
          <w:p>
            <w:pPr>
              <w:pStyle w:val="Compact"/>
            </w:pPr>
            <w:r>
              <w:t xml:space="preserve">{{OK}}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— ficheiros</w:t>
            </w:r>
          </w:p>
        </w:tc>
        <w:tc>
          <w:tcPr/>
          <w:p>
            <w:pPr>
              <w:pStyle w:val="Compact"/>
            </w:pPr>
            <w:r>
              <w:t xml:space="preserve">{{100 GB}}</w:t>
            </w:r>
          </w:p>
        </w:tc>
        <w:tc>
          <w:tcPr/>
          <w:p>
            <w:pPr>
              <w:pStyle w:val="Compact"/>
            </w:pPr>
            <w:r>
              <w:t xml:space="preserve">{{62 GB}}</w:t>
            </w:r>
          </w:p>
        </w:tc>
        <w:tc>
          <w:tcPr/>
          <w:p>
            <w:pPr>
              <w:pStyle w:val="Compact"/>
            </w:pPr>
            <w:r>
              <w:t xml:space="preserve">{{62%}}</w:t>
            </w:r>
          </w:p>
        </w:tc>
        <w:tc>
          <w:tcPr/>
          <w:p>
            <w:pPr>
              <w:pStyle w:val="Compact"/>
            </w:pPr>
            <w:r>
              <w:t xml:space="preserve">{{75%}}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{{Atenção}}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Ligações à BD</w:t>
            </w:r>
          </w:p>
        </w:tc>
        <w:tc>
          <w:tcPr/>
          <w:p>
            <w:pPr>
              <w:pStyle w:val="Compact"/>
            </w:pPr>
            <w:r>
              <w:t xml:space="preserve">{{20}}</w:t>
            </w:r>
          </w:p>
        </w:tc>
        <w:tc>
          <w:tcPr/>
          <w:p>
            <w:pPr>
              <w:pStyle w:val="Compact"/>
            </w:pPr>
            <w:r>
              <w:t xml:space="preserve">{{14 pico}}</w:t>
            </w:r>
          </w:p>
        </w:tc>
        <w:tc>
          <w:tcPr/>
          <w:p>
            <w:pPr>
              <w:pStyle w:val="Compact"/>
            </w:pPr>
            <w:r>
              <w:t xml:space="preserve">{{70%}}</w:t>
            </w:r>
          </w:p>
        </w:tc>
        <w:tc>
          <w:tcPr/>
          <w:p>
            <w:pPr>
              <w:pStyle w:val="Compact"/>
            </w:pPr>
            <w:r>
              <w:t xml:space="preserve">{{80%}}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{{Atenção}}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{{Envios de e-mail/mês}}</w:t>
            </w:r>
          </w:p>
        </w:tc>
        <w:tc>
          <w:tcPr/>
          <w:p>
            <w:pPr>
              <w:pStyle w:val="Compact"/>
            </w:pPr>
            <w:r>
              <w:t xml:space="preserve">{{10 000}}</w:t>
            </w:r>
          </w:p>
        </w:tc>
        <w:tc>
          <w:tcPr/>
          <w:p>
            <w:pPr>
              <w:pStyle w:val="Compact"/>
            </w:pPr>
            <w:r>
              <w:t xml:space="preserve">{{3 200}}</w:t>
            </w:r>
          </w:p>
        </w:tc>
        <w:tc>
          <w:tcPr/>
          <w:p>
            <w:pPr>
              <w:pStyle w:val="Compact"/>
            </w:pPr>
            <w:r>
              <w:t xml:space="preserve">{{32%}}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crescimento-observado"/>
    <w:p>
      <w:pPr>
        <w:pStyle w:val="Heading2"/>
      </w:pPr>
      <w:r>
        <w:t xml:space="preserve">3. Crescimento observado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Há 6 meses</w:t>
            </w:r>
          </w:p>
        </w:tc>
        <w:tc>
          <w:tcPr/>
          <w:p>
            <w:pPr>
              <w:pStyle w:val="Compact"/>
            </w:pPr>
            <w:r>
              <w:t xml:space="preserve">Hoje</w:t>
            </w:r>
          </w:p>
        </w:tc>
        <w:tc>
          <w:tcPr/>
          <w:p>
            <w:pPr>
              <w:pStyle w:val="Compact"/>
            </w:pPr>
            <w:r>
              <w:t xml:space="preserve">Crescimento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Utilizadores ativos</w:t>
            </w:r>
          </w:p>
        </w:tc>
        <w:tc>
          <w:tcPr/>
          <w:p>
            <w:pPr>
              <w:pStyle w:val="Compact"/>
            </w:pPr>
            <w:r>
              <w:t xml:space="preserve">{{40}}</w:t>
            </w:r>
          </w:p>
        </w:tc>
        <w:tc>
          <w:tcPr/>
          <w:p>
            <w:pPr>
              <w:pStyle w:val="Compact"/>
            </w:pPr>
            <w:r>
              <w:t xml:space="preserve">{{62}}</w:t>
            </w:r>
          </w:p>
        </w:tc>
        <w:tc>
          <w:tcPr/>
          <w:p>
            <w:pPr>
              <w:pStyle w:val="Compact"/>
            </w:pPr>
            <w:r>
              <w:t xml:space="preserve">{{+55%}}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Registos na tabela {{maior}}</w:t>
            </w:r>
          </w:p>
        </w:tc>
        <w:tc>
          <w:tcPr/>
          <w:p>
            <w:pPr>
              <w:pStyle w:val="Compact"/>
            </w:pPr>
            <w:r>
              <w:t xml:space="preserve">{{120 k}}</w:t>
            </w:r>
          </w:p>
        </w:tc>
        <w:tc>
          <w:tcPr/>
          <w:p>
            <w:pPr>
              <w:pStyle w:val="Compact"/>
            </w:pPr>
            <w:r>
              <w:t xml:space="preserve">{{310 k}}</w:t>
            </w:r>
          </w:p>
        </w:tc>
        <w:tc>
          <w:tcPr/>
          <w:p>
            <w:pPr>
              <w:pStyle w:val="Compact"/>
            </w:pPr>
            <w:r>
              <w:t xml:space="preserve">{{+158%}}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Ficheiros armazenados</w:t>
            </w:r>
          </w:p>
        </w:tc>
        <w:tc>
          <w:tcPr/>
          <w:p>
            <w:pPr>
              <w:pStyle w:val="Compact"/>
            </w:pPr>
            <w:r>
              <w:t xml:space="preserve">{{8 GB}}</w:t>
            </w:r>
          </w:p>
        </w:tc>
        <w:tc>
          <w:tcPr/>
          <w:p>
            <w:pPr>
              <w:pStyle w:val="Compact"/>
            </w:pPr>
            <w:r>
              <w:t xml:space="preserve">{{62 GB}}</w:t>
            </w:r>
          </w:p>
        </w:tc>
        <w:tc>
          <w:tcPr/>
          <w:p>
            <w:pPr>
              <w:pStyle w:val="Compact"/>
            </w:pPr>
            <w:r>
              <w:t xml:space="preserve">{{+675%}}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Pedidos/dia</w:t>
            </w:r>
          </w:p>
        </w:tc>
        <w:tc>
          <w:tcPr/>
          <w:p>
            <w:pPr>
              <w:pStyle w:val="Compact"/>
            </w:pPr>
            <w:r>
              <w:t xml:space="preserve">{{12 k}}</w:t>
            </w:r>
          </w:p>
        </w:tc>
        <w:tc>
          <w:tcPr/>
          <w:p>
            <w:pPr>
              <w:pStyle w:val="Compact"/>
            </w:pPr>
            <w:r>
              <w:t xml:space="preserve">{{19 k}}</w:t>
            </w:r>
          </w:p>
        </w:tc>
        <w:tc>
          <w:tcPr/>
          <w:p>
            <w:pPr>
              <w:pStyle w:val="Compact"/>
            </w:pPr>
            <w:r>
              <w:t xml:space="preserve">{{+58%}}</w:t>
            </w:r>
          </w:p>
        </w:tc>
        <w:tc>
          <w:tcPr/>
          <w:p>
            <w:pPr>
              <w:pStyle w:val="Compact"/>
            </w:pPr>
            <w:r>
              <w:t xml:space="preserve">Medido</w:t>
            </w:r>
          </w:p>
        </w:tc>
      </w:tr>
    </w:tbl>
    <w:p>
      <w:pPr>
        <w:pStyle w:val="BlockText"/>
      </w:pPr>
      <w:r>
        <w:rPr>
          <w:b/>
          <w:bCs/>
        </w:rPr>
        <w:t xml:space="preserve">O que cresce mais depressa raramente é o que se esperava.</w:t>
      </w:r>
      <w:r>
        <w:t xml:space="preserve"> </w:t>
      </w:r>
      <w:r>
        <w:t xml:space="preserve">Aqui são os</w:t>
      </w:r>
      <w:r>
        <w:t xml:space="preserve"> </w:t>
      </w:r>
      <w:r>
        <w:t xml:space="preserve">ficheiros, não os utilizadores — e é o armazenamento que esgota primeiro.</w:t>
      </w:r>
    </w:p>
    <w:p>
      <w:r>
        <w:pict>
          <v:rect style="width:0;height:1.5pt" o:hralign="center" o:hrstd="t" o:hr="t"/>
        </w:pict>
      </w:r>
    </w:p>
    <w:bookmarkEnd w:id="51"/>
    <w:bookmarkStart w:id="52" w:name="projeção"/>
    <w:p>
      <w:pPr>
        <w:pStyle w:val="Heading2"/>
      </w:pPr>
      <w:r>
        <w:t xml:space="preserve">4. Projeção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Hoje</w:t>
            </w:r>
          </w:p>
        </w:tc>
        <w:tc>
          <w:tcPr/>
          <w:p>
            <w:pPr>
              <w:pStyle w:val="Compact"/>
            </w:pPr>
            <w:r>
              <w:t xml:space="preserve">+6 meses</w:t>
            </w:r>
          </w:p>
        </w:tc>
        <w:tc>
          <w:tcPr/>
          <w:p>
            <w:pPr>
              <w:pStyle w:val="Compact"/>
            </w:pPr>
            <w:r>
              <w:t xml:space="preserve">+12 meses</w:t>
            </w:r>
          </w:p>
        </w:tc>
        <w:tc>
          <w:tcPr/>
          <w:p>
            <w:pPr>
              <w:pStyle w:val="Compact"/>
            </w:pPr>
            <w:r>
              <w:t xml:space="preserve">+24 meses</w:t>
            </w:r>
          </w:p>
        </w:tc>
        <w:tc>
          <w:tcPr/>
          <w:p>
            <w:pPr>
              <w:pStyle w:val="Compact"/>
            </w:pPr>
            <w:r>
              <w:t xml:space="preserve">Esgota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— ficheiros</w:t>
            </w:r>
          </w:p>
        </w:tc>
        <w:tc>
          <w:tcPr/>
          <w:p>
            <w:pPr>
              <w:pStyle w:val="Compact"/>
            </w:pPr>
            <w:r>
              <w:t xml:space="preserve">{{62 GB}}</w:t>
            </w:r>
          </w:p>
        </w:tc>
        <w:tc>
          <w:tcPr/>
          <w:p>
            <w:pPr>
              <w:pStyle w:val="Compact"/>
            </w:pPr>
            <w:r>
              <w:t xml:space="preserve">{{95 GB}}</w:t>
            </w:r>
          </w:p>
        </w:tc>
        <w:tc>
          <w:tcPr/>
          <w:p>
            <w:pPr>
              <w:pStyle w:val="Compact"/>
            </w:pPr>
            <w:r>
              <w:t xml:space="preserve">{{145 GB}}</w:t>
            </w:r>
          </w:p>
        </w:tc>
        <w:tc>
          <w:tcPr/>
          <w:p>
            <w:pPr>
              <w:pStyle w:val="Compact"/>
            </w:pPr>
            <w:r>
              <w:t xml:space="preserve">{{280 GB}}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{{~7 meses}}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 — dados</w:t>
            </w:r>
          </w:p>
        </w:tc>
        <w:tc>
          <w:tcPr/>
          <w:p>
            <w:pPr>
              <w:pStyle w:val="Compact"/>
            </w:pPr>
            <w:r>
              <w:t xml:space="preserve">{{18 GB}}</w:t>
            </w:r>
          </w:p>
        </w:tc>
        <w:tc>
          <w:tcPr/>
          <w:p>
            <w:pPr>
              <w:pStyle w:val="Compact"/>
            </w:pPr>
            <w:r>
              <w:t xml:space="preserve">{{26 GB}}</w:t>
            </w:r>
          </w:p>
        </w:tc>
        <w:tc>
          <w:tcPr/>
          <w:p>
            <w:pPr>
              <w:pStyle w:val="Compact"/>
            </w:pPr>
            <w:r>
              <w:t xml:space="preserve">{{37 GB}}</w:t>
            </w:r>
          </w:p>
        </w:tc>
        <w:tc>
          <w:tcPr/>
          <w:p>
            <w:pPr>
              <w:pStyle w:val="Compact"/>
            </w:pPr>
            <w:r>
              <w:t xml:space="preserve">{{60 GB}}</w:t>
            </w:r>
          </w:p>
        </w:tc>
        <w:tc>
          <w:tcPr/>
          <w:p>
            <w:pPr>
              <w:pStyle w:val="Compact"/>
            </w:pPr>
            <w:r>
              <w:t xml:space="preserve">{{~20 meses}}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Ligações à BD</w:t>
            </w:r>
          </w:p>
        </w:tc>
        <w:tc>
          <w:tcPr/>
          <w:p>
            <w:pPr>
              <w:pStyle w:val="Compact"/>
            </w:pPr>
            <w:r>
              <w:t xml:space="preserve">{{14}}</w:t>
            </w:r>
          </w:p>
        </w:tc>
        <w:tc>
          <w:tcPr/>
          <w:p>
            <w:pPr>
              <w:pStyle w:val="Compact"/>
            </w:pPr>
            <w:r>
              <w:t xml:space="preserve">{{18}}</w:t>
            </w:r>
          </w:p>
        </w:tc>
        <w:tc>
          <w:tcPr/>
          <w:p>
            <w:pPr>
              <w:pStyle w:val="Compact"/>
            </w:pPr>
            <w:r>
              <w:t xml:space="preserve">{{23}}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{{~9 meses}}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Pressupostos:</w:t>
      </w:r>
      <w:r>
        <w:t xml:space="preserve"> </w:t>
      </w:r>
      <w:r>
        <w:t xml:space="preserve">{{crescimento linear com base nos últimos 6 meses; sem novos</w:t>
      </w:r>
      <w:r>
        <w:t xml:space="preserve"> </w:t>
      </w:r>
      <w:r>
        <w:t xml:space="preserve">módulos; sem alteração da política de retenção}}.</w:t>
      </w:r>
    </w:p>
    <w:p>
      <w:r>
        <w:pict>
          <v:rect style="width:0;height:1.5pt" o:hralign="center" o:hrstd="t" o:hr="t"/>
        </w:pict>
      </w:r>
    </w:p>
    <w:bookmarkEnd w:id="52"/>
    <w:bookmarkStart w:id="53" w:name="ações-planeadas"/>
    <w:p>
      <w:pPr>
        <w:pStyle w:val="Heading2"/>
      </w:pPr>
      <w:r>
        <w:t xml:space="preserve">5. Ações planeadas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Custo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Ficheiros</w:t>
            </w:r>
          </w:p>
        </w:tc>
        <w:tc>
          <w:tcPr/>
          <w:p>
            <w:pPr>
              <w:pStyle w:val="Compact"/>
            </w:pPr>
            <w:r>
              <w:t xml:space="preserve">{{Política de retenção: comprimir e arquivar &gt; 2 anos}}</w:t>
            </w:r>
          </w:p>
        </w:tc>
        <w:tc>
          <w:tcPr/>
          <w:p>
            <w:pPr>
              <w:pStyle w:val="Compact"/>
            </w:pPr>
            <w:r>
              <w:t xml:space="preserve">{{Antes de {{data}}}}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Ficheiros</w:t>
            </w:r>
          </w:p>
        </w:tc>
        <w:tc>
          <w:tcPr/>
          <w:p>
            <w:pPr>
              <w:pStyle w:val="Compact"/>
            </w:pPr>
            <w:r>
              <w:t xml:space="preserve">{{Passar para armazenamento de objetos}}</w:t>
            </w:r>
          </w:p>
        </w:tc>
        <w:tc>
          <w:tcPr/>
          <w:p>
            <w:pPr>
              <w:pStyle w:val="Compact"/>
            </w:pPr>
            <w:r>
              <w:t xml:space="preserve">{{Se a ação 1 não chegar}}</w:t>
            </w:r>
          </w:p>
        </w:tc>
        <w:tc>
          <w:tcPr/>
          <w:p>
            <w:pPr>
              <w:pStyle w:val="Compact"/>
            </w:pPr>
            <w:r>
              <w:t xml:space="preserve">{{€/mês}}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Ligações à BD</w:t>
            </w:r>
          </w:p>
        </w:tc>
        <w:tc>
          <w:tcPr/>
          <w:p>
            <w:pPr>
              <w:pStyle w:val="Compact"/>
            </w:pPr>
            <w:r>
              <w:t xml:space="preserve">{{Reduzir</w:t>
            </w:r>
            <w:r>
              <w:t xml:space="preserve"> </w:t>
            </w:r>
            <w:r>
              <w:rPr>
                <w:rStyle w:val="VerbatimChar"/>
              </w:rPr>
              <w:t xml:space="preserve">CONN_MAX_AGE</w:t>
            </w:r>
            <w:r>
              <w:t xml:space="preserve"> </w:t>
            </w:r>
            <w:r>
              <w:t xml:space="preserve">/ usar pool}}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Ordem de preferência:</w:t>
      </w:r>
      <w:r>
        <w:t xml:space="preserve"> </w:t>
      </w:r>
      <w:r>
        <w:t xml:space="preserve">apagar o que não é preciso → arrumar melhor →</w:t>
      </w:r>
      <w:r>
        <w:t xml:space="preserve"> </w:t>
      </w:r>
      <w:r>
        <w:t xml:space="preserve">comprar mais. Comprar primeiro adia o problema e aumenta a conta permanentemente.</w:t>
      </w:r>
    </w:p>
    <w:p>
      <w:r>
        <w:pict>
          <v:rect style="width:0;height:1.5pt" o:hralign="center" o:hrstd="t" o:hr="t"/>
        </w:pict>
      </w:r>
    </w:p>
    <w:bookmarkEnd w:id="53"/>
    <w:bookmarkStart w:id="54" w:name="limites-que-não-se-veem-no-painel"/>
    <w:p>
      <w:pPr>
        <w:pStyle w:val="Heading2"/>
      </w:pPr>
      <w:r>
        <w:t xml:space="preserve">6. Limites que não se veem no painel</w:t>
      </w:r>
    </w:p>
    <w:p>
      <w:pPr>
        <w:pStyle w:val="FirstParagraph"/>
      </w:pPr>
      <w:r>
        <w:t xml:space="preserve">Os que costumam apanhar de surpresa.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Se atingir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{{Ficheiros por diretório}}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{{Tamanho máximo de pedido}}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{{Uploads grandes falham}}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{{Quota do plano de alojamento}}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{{Serviço suspenso}}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{{IDs sequenciais (int4)}}</w:t>
            </w:r>
          </w:p>
        </w:tc>
        <w:tc>
          <w:tcPr/>
          <w:p>
            <w:pPr>
              <w:pStyle w:val="Compact"/>
            </w:pPr>
            <w:r>
              <w:t xml:space="preserve">{{2,1 mil M}}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{{Escritas param}}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{{Limite de envio do fornecedor de e-mail}}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{{Avisos não saem}}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picos-previsíveis"/>
    <w:p>
      <w:pPr>
        <w:pStyle w:val="Heading2"/>
      </w:pPr>
      <w:r>
        <w:t xml:space="preserve">7. Picos previsíveis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Multiplicador</w:t>
            </w:r>
          </w:p>
        </w:tc>
        <w:tc>
          <w:tcPr/>
          <w:p>
            <w:pPr>
              <w:pStyle w:val="Compact"/>
            </w:pPr>
            <w:r>
              <w:t xml:space="preserve">Preparação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{{Fecho do mês}}</w:t>
            </w:r>
          </w:p>
        </w:tc>
        <w:tc>
          <w:tcPr/>
          <w:p>
            <w:pPr>
              <w:pStyle w:val="Compact"/>
            </w:pPr>
            <w:r>
              <w:t xml:space="preserve">{{Últimos 2 dias}}</w:t>
            </w:r>
          </w:p>
        </w:tc>
        <w:tc>
          <w:tcPr/>
          <w:p>
            <w:pPr>
              <w:pStyle w:val="Compact"/>
            </w:pPr>
            <w:r>
              <w:t xml:space="preserve">{{3×}}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{{Início de turno}}</w:t>
            </w:r>
          </w:p>
        </w:tc>
        <w:tc>
          <w:tcPr/>
          <w:p>
            <w:pPr>
              <w:pStyle w:val="Compact"/>
            </w:pPr>
            <w:r>
              <w:t xml:space="preserve">{{08:00 diário}}</w:t>
            </w:r>
          </w:p>
        </w:tc>
        <w:tc>
          <w:tcPr/>
          <w:p>
            <w:pPr>
              <w:pStyle w:val="Compact"/>
            </w:pPr>
            <w:r>
              <w:t xml:space="preserve">{{5×}}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{{Inventário anual}}</w:t>
            </w:r>
          </w:p>
        </w:tc>
        <w:tc>
          <w:tcPr/>
          <w:p>
            <w:pPr>
              <w:pStyle w:val="Compact"/>
            </w:pPr>
            <w:r>
              <w:t xml:space="preserve">{{Dezembro}}</w:t>
            </w:r>
          </w:p>
        </w:tc>
        <w:tc>
          <w:tcPr/>
          <w:p>
            <w:pPr>
              <w:pStyle w:val="Compact"/>
            </w:pPr>
            <w:r>
              <w:t xml:space="preserve">{{10×}}</w:t>
            </w:r>
          </w:p>
        </w:tc>
        <w:tc>
          <w:tcPr/>
          <w:p>
            <w:pPr>
              <w:pStyle w:val="Compact"/>
            </w:pPr>
            <w:r>
              <w:t xml:space="preserve">{{Aumentar temporariamente}}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gatilhos-de-revisão"/>
    <w:p>
      <w:pPr>
        <w:pStyle w:val="Heading2"/>
      </w:pPr>
      <w:r>
        <w:t xml:space="preserve">8. Gatilhos de revisão</w:t>
      </w:r>
    </w:p>
    <w:p>
      <w:pPr>
        <w:pStyle w:val="FirstParagraph"/>
      </w:pPr>
      <w:r>
        <w:t xml:space="preserve">Rever este plano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do prazo se:</w:t>
      </w:r>
    </w:p>
    <w:p>
      <w:pPr>
        <w:pStyle w:val="Compact"/>
        <w:numPr>
          <w:ilvl w:val="0"/>
          <w:numId w:val="1001"/>
        </w:numPr>
      </w:pPr>
      <w:r>
        <w:t xml:space="preserve">Qualquer recurso passar {{70%}}</w:t>
      </w:r>
    </w:p>
    <w:p>
      <w:pPr>
        <w:pStyle w:val="Compact"/>
        <w:numPr>
          <w:ilvl w:val="0"/>
          <w:numId w:val="1002"/>
        </w:numPr>
      </w:pPr>
      <w:r>
        <w:t xml:space="preserve">O crescimento mensal exceder {{o dobro}} da projeção</w:t>
      </w:r>
    </w:p>
    <w:p>
      <w:pPr>
        <w:pStyle w:val="Compact"/>
        <w:numPr>
          <w:ilvl w:val="0"/>
          <w:numId w:val="1003"/>
        </w:numPr>
      </w:pPr>
      <w:r>
        <w:t xml:space="preserve">Entrar um módulo novo ou uma integração</w:t>
      </w:r>
    </w:p>
    <w:p>
      <w:pPr>
        <w:pStyle w:val="Compact"/>
        <w:numPr>
          <w:ilvl w:val="0"/>
          <w:numId w:val="1004"/>
        </w:numPr>
      </w:pPr>
      <w:r>
        <w:t xml:space="preserve">O número de utilizadores aumentar mais de {{30%}} de uma vez</w:t>
      </w:r>
    </w:p>
    <w:bookmarkEnd w:id="5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Capacidade — {{PROJETO}}</dc:title>
  <dc:creator/>
  <dc:language>pt-PT</dc:language>
  <cp:keywords/>
  <dcterms:created xsi:type="dcterms:W3CDTF">2026-08-24T10:58:39Z</dcterms:created>
  <dcterms:modified xsi:type="dcterms:W3CDTF">2026-08-24T10:58:39Z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