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2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Privacidade e Conformidade com o RGPD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Este documento apoia a conformidade;</w:t>
      </w:r>
      <w:r>
        <w:t xml:space="preserve"> </w:t>
      </w:r>
      <w:r>
        <w:rPr>
          <w:b/>
          <w:bCs/>
        </w:rPr>
        <w:t xml:space="preserve">não substitui aconselhamento jurídico</w:t>
      </w:r>
      <w:r>
        <w:t xml:space="preserve">. Valida com o {{DPO / jurídico}} antes de tratar dados pessoais reais.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pelo tratamento</w:t>
            </w:r>
          </w:p>
        </w:tc>
        <w:tc>
          <w:tcPr/>
          <w:p>
            <w:pPr>
              <w:pStyle w:val="Compact"/>
            </w:pPr>
            <w:r>
              <w:t xml:space="preserve">{{Entidade, NIF, morada}}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Encarregado de Proteção de Dados (DPO)</w:t>
            </w:r>
          </w:p>
        </w:tc>
        <w:tc>
          <w:tcPr/>
          <w:p>
            <w:pPr>
              <w:pStyle w:val="Compact"/>
            </w:pPr>
            <w:r>
              <w:t xml:space="preserve">{{Nome, contacto}}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1" w:name="Xdb04c7be3b7daee27eef3a72f30c3650b4937df"/>
    <w:p>
      <w:pPr>
        <w:pStyle w:val="Heading2"/>
      </w:pPr>
      <w:r>
        <w:t xml:space="preserve">1. Registo de atividades de tratamento (art. 30)</w:t>
      </w:r>
    </w:p>
    <w:bookmarkStart w:id="49" w:name="atividade-gestão-de-encomendas"/>
    <w:p>
      <w:pPr>
        <w:pStyle w:val="Heading3"/>
      </w:pPr>
      <w:r>
        <w:t xml:space="preserve">Atividade: {{Gestão de encomendas}}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{{Executar e acompanhar encomendas de clientes}}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Fundamento de licitude</w:t>
            </w:r>
          </w:p>
        </w:tc>
        <w:tc>
          <w:tcPr/>
          <w:p>
            <w:pPr>
              <w:pStyle w:val="Compact"/>
            </w:pPr>
            <w:r>
              <w:t xml:space="preserve">{{Execução de contrato (art. 6.º/1/b)}}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Categorias de titulares</w:t>
            </w:r>
          </w:p>
        </w:tc>
        <w:tc>
          <w:tcPr/>
          <w:p>
            <w:pPr>
              <w:pStyle w:val="Compact"/>
            </w:pPr>
            <w:r>
              <w:t xml:space="preserve">{{Clientes, contactos de clientes empresariais}}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Categorias de dados</w:t>
            </w:r>
          </w:p>
        </w:tc>
        <w:tc>
          <w:tcPr/>
          <w:p>
            <w:pPr>
              <w:pStyle w:val="Compact"/>
            </w:pPr>
            <w:r>
              <w:t xml:space="preserve">{{Nome, e-mail, telefone, NIF, morada de entrega, histórico de encomendas}}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Categorias especiais (art. 9)</w:t>
            </w:r>
          </w:p>
        </w:tc>
        <w:tc>
          <w:tcPr/>
          <w:p>
            <w:pPr>
              <w:pStyle w:val="Compact"/>
            </w:pPr>
            <w:r>
              <w:t xml:space="preserve">{{Nenhuma}}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Destinatários</w:t>
            </w:r>
          </w:p>
        </w:tc>
        <w:tc>
          <w:tcPr/>
          <w:p>
            <w:pPr>
              <w:pStyle w:val="Compact"/>
            </w:pPr>
            <w:r>
              <w:t xml:space="preserve">{{Transportadora, ERP interno, prestador de e-mail}}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Transferências para países terceiros</w:t>
            </w:r>
          </w:p>
        </w:tc>
        <w:tc>
          <w:tcPr/>
          <w:p>
            <w:pPr>
              <w:pStyle w:val="Compact"/>
            </w:pPr>
            <w:r>
              <w:t xml:space="preserve">{{Nenhuma / {{país}} ao abrigo de {{cláusulas-tipo}}}}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Prazo de conservação</w:t>
            </w:r>
          </w:p>
        </w:tc>
        <w:tc>
          <w:tcPr/>
          <w:p>
            <w:pPr>
              <w:pStyle w:val="Compact"/>
            </w:pPr>
            <w:r>
              <w:t xml:space="preserve">{{10 anos após a última encomenda (obrigação fiscal)}}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Medidas de segurança</w:t>
            </w:r>
          </w:p>
        </w:tc>
        <w:tc>
          <w:tcPr/>
          <w:p>
            <w:pPr>
              <w:pStyle w:val="Compact"/>
            </w:pPr>
            <w:r>
              <w:t xml:space="preserve">{{Cifra em repouso e em trânsito, controlo de acessos, auditoria}}</w:t>
            </w:r>
          </w:p>
        </w:tc>
      </w:tr>
    </w:tbl>
    <w:bookmarkEnd w:id="49"/>
    <w:bookmarkStart w:id="50" w:name="atividade-marketing-por-e-mail"/>
    <w:p>
      <w:pPr>
        <w:pStyle w:val="Heading3"/>
      </w:pPr>
      <w:r>
        <w:t xml:space="preserve">Atividade: {{Marketing por e-mail}}</w:t>
      </w:r>
    </w:p>
    <w:p>
      <w:pPr>
        <w:pStyle w:val="FirstParagraph"/>
      </w:pPr>
      <w:r>
        <w:rPr>
          <w:b/>
          <w:bCs/>
        </w:rPr>
        <w:t xml:space="preserve">Fundamento</w:t>
      </w:r>
      <w:r>
        <w:t xml:space="preserve"> </w:t>
      </w:r>
      <w:r>
        <w:t xml:space="preserve">| {{Consentimento (art. 6.º/1/a)}} ·</w:t>
      </w:r>
      <w:r>
        <w:t xml:space="preserve"> </w:t>
      </w:r>
      <w:r>
        <w:rPr>
          <w:b/>
          <w:bCs/>
        </w:rPr>
        <w:t xml:space="preserve">Conservação:</w:t>
      </w:r>
      <w:r>
        <w:t xml:space="preserve"> </w:t>
      </w:r>
      <w:r>
        <w:t xml:space="preserve">{{até retirada do consentimento}} |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inventário-de-dados-pessoais"/>
    <w:p>
      <w:pPr>
        <w:pStyle w:val="Heading2"/>
      </w:pPr>
      <w:r>
        <w:t xml:space="preserve">2. Inventário de dados pessoais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 / Tabela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  <w:tc>
          <w:tcPr/>
          <w:p>
            <w:pPr>
              <w:pStyle w:val="Compact"/>
            </w:pPr>
            <w:r>
              <w:t xml:space="preserve">Conservação</w:t>
            </w:r>
          </w:p>
        </w:tc>
        <w:tc>
          <w:tcPr/>
          <w:p>
            <w:pPr>
              <w:pStyle w:val="Compact"/>
            </w:pPr>
            <w:r>
              <w:t xml:space="preserve">Cifrado</w:t>
            </w:r>
          </w:p>
        </w:tc>
        <w:tc>
          <w:tcPr/>
          <w:p>
            <w:pPr>
              <w:pStyle w:val="Compact"/>
            </w:pPr>
            <w:r>
              <w:t xml:space="preserve">Anonimizável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clientes.nome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Identificação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clientes.email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clientes.nif</w:t>
            </w:r>
          </w:p>
        </w:tc>
        <w:tc>
          <w:tcPr/>
          <w:p>
            <w:pPr>
              <w:pStyle w:val="Compact"/>
            </w:pPr>
            <w:r>
              <w:t xml:space="preserve">NIF</w:t>
            </w:r>
          </w:p>
        </w:tc>
        <w:tc>
          <w:tcPr/>
          <w:p>
            <w:pPr>
              <w:pStyle w:val="Compact"/>
            </w:pPr>
            <w:r>
              <w:t xml:space="preserve">Identificação fiscal</w:t>
            </w:r>
          </w:p>
        </w:tc>
        <w:tc>
          <w:tcPr/>
          <w:p>
            <w:pPr>
              <w:pStyle w:val="Compact"/>
            </w:pPr>
            <w:r>
              <w:t xml:space="preserve">Obrigação legal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 (gerar fictício)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utilizadores.ip_ultimo_acesso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Interesse legítimo (segurança)</w:t>
            </w:r>
          </w:p>
        </w:tc>
        <w:tc>
          <w:tcPr/>
          <w:p>
            <w:pPr>
              <w:pStyle w:val="Compact"/>
            </w:pPr>
            <w:r>
              <w:t xml:space="preserve">{{90 dias}}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Truncar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logs_auditoria.actor_id</w:t>
            </w:r>
          </w:p>
        </w:tc>
        <w:tc>
          <w:tcPr/>
          <w:p>
            <w:pPr>
              <w:pStyle w:val="Compact"/>
            </w:pPr>
            <w:r>
              <w:t xml:space="preserve">Pseudónimo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Obrigação legal</w:t>
            </w:r>
          </w:p>
        </w:tc>
        <w:tc>
          <w:tcPr/>
          <w:p>
            <w:pPr>
              <w:pStyle w:val="Compact"/>
            </w:pPr>
            <w:r>
              <w:t xml:space="preserve">{{7 anos}}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Já pseudonimizado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de dados pessoais</w:t>
      </w:r>
      <w:r>
        <w:t xml:space="preserve"> </w:t>
      </w:r>
      <w:r>
        <w:drawing>
          <wp:inline>
            <wp:extent cx="6191999" cy="397427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ou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97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57" w:name="princípios-art.-5-como-são-cumpridos"/>
    <w:p>
      <w:pPr>
        <w:pStyle w:val="Heading2"/>
      </w:pPr>
      <w:r>
        <w:t xml:space="preserve">3. Princípios (art. 5) — como são cumpridos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Como é cumprido neste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Licitude, lealdade e transparência</w:t>
            </w:r>
          </w:p>
        </w:tc>
        <w:tc>
          <w:tcPr/>
          <w:p>
            <w:pPr>
              <w:pStyle w:val="Compact"/>
            </w:pPr>
            <w:r>
              <w:t xml:space="preserve">{{Política de privacidade acessível; informação no momento da recolha}}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Limitação das finalidades</w:t>
            </w:r>
          </w:p>
        </w:tc>
        <w:tc>
          <w:tcPr/>
          <w:p>
            <w:pPr>
              <w:pStyle w:val="Compact"/>
            </w:pPr>
            <w:r>
              <w:t xml:space="preserve">{{Dados de encomendas não usados para marketing sem consentimento separado}}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Minimização</w:t>
            </w:r>
          </w:p>
        </w:tc>
        <w:tc>
          <w:tcPr/>
          <w:p>
            <w:pPr>
              <w:pStyle w:val="Compact"/>
            </w:pPr>
            <w:r>
              <w:t xml:space="preserve">{{Só se recolhe o necessário; data de nascimento não é pedida}}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Exatidão</w:t>
            </w:r>
          </w:p>
        </w:tc>
        <w:tc>
          <w:tcPr/>
          <w:p>
            <w:pPr>
              <w:pStyle w:val="Compact"/>
            </w:pPr>
            <w:r>
              <w:t xml:space="preserve">{{O titular pode corrigir os seus dados no perfil}}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Limitação da conservação</w:t>
            </w:r>
          </w:p>
        </w:tc>
        <w:tc>
          <w:tcPr/>
          <w:p>
            <w:pPr>
              <w:pStyle w:val="Compact"/>
            </w:pPr>
            <w:r>
              <w:t xml:space="preserve">{{Eliminação automática conforme §2}}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Integridade e confidencialidade</w:t>
            </w:r>
          </w:p>
        </w:tc>
        <w:tc>
          <w:tcPr/>
          <w:p>
            <w:pPr>
              <w:pStyle w:val="Compact"/>
            </w:pPr>
            <w:r>
              <w:t xml:space="preserve">{{Ver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SECURITY</w:t>
              </w:r>
            </w:hyperlink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{{Este registo, DPIA, auditorias}}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9" w:name="direitos-dos-titulares"/>
    <w:p>
      <w:pPr>
        <w:pStyle w:val="Heading2"/>
      </w:pPr>
      <w:r>
        <w:t xml:space="preserve">4. Direitos dos titulares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Direito</w:t>
            </w:r>
          </w:p>
        </w:tc>
        <w:tc>
          <w:tcPr/>
          <w:p>
            <w:pPr>
              <w:pStyle w:val="Compact"/>
            </w:pPr>
            <w:r>
              <w:t xml:space="preserve">Artigo</w:t>
            </w:r>
          </w:p>
        </w:tc>
        <w:tc>
          <w:tcPr/>
          <w:p>
            <w:pPr>
              <w:pStyle w:val="Compact"/>
            </w:pPr>
            <w:r>
              <w:t xml:space="preserve">Como é exercido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Informação</w:t>
            </w:r>
          </w:p>
        </w:tc>
        <w:tc>
          <w:tcPr/>
          <w:p>
            <w:pPr>
              <w:pStyle w:val="Compact"/>
            </w:pPr>
            <w:r>
              <w:t xml:space="preserve">13-14</w:t>
            </w:r>
          </w:p>
        </w:tc>
        <w:tc>
          <w:tcPr/>
          <w:p>
            <w:pPr>
              <w:pStyle w:val="Compact"/>
            </w:pPr>
            <w:r>
              <w:t xml:space="preserve">Política de privacidade + aviso na recolha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{{Autosserviço no perfil + pedido a {{email}}}}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Retificação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{{Edição no perfil}}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Apagamento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{{Pedido a {{email}} → processo §5}}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Limitação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{{Flag</w:t>
            </w:r>
            <w:r>
              <w:t xml:space="preserve"> </w:t>
            </w:r>
            <w:r>
              <w:rPr>
                <w:rStyle w:val="VerbatimChar"/>
              </w:rPr>
              <w:t xml:space="preserve">tratamento_limitado</w:t>
            </w:r>
            <w:r>
              <w:t xml:space="preserve"> </w:t>
            </w:r>
            <w:r>
              <w:t xml:space="preserve">na conta}}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{{Exportação JSON/CSV no perfil}}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Oposição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{{Cancelar subscrição; opor-se ao perfilamento}}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automatizadas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{{Não aplicável / revisão humana disponível}}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58" w:name="registo-de-pedidos"/>
    <w:p>
      <w:pPr>
        <w:pStyle w:val="Heading3"/>
      </w:pPr>
      <w:r>
        <w:t xml:space="preserve">Registo de pedidos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Titular</w:t>
            </w:r>
          </w:p>
        </w:tc>
        <w:tc>
          <w:tcPr/>
          <w:p>
            <w:pPr>
              <w:pStyle w:val="Compact"/>
            </w:pPr>
            <w:r>
              <w:t xml:space="preserve">Direito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Concluído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{{ref}}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Fornecido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procedimento-de-apagamento"/>
    <w:p>
      <w:pPr>
        <w:pStyle w:val="Heading2"/>
      </w:pPr>
      <w:r>
        <w:t xml:space="preserve">5. Procedimento de apagamento</w:t>
      </w:r>
    </w:p>
    <w:p>
      <w:pPr>
        <w:pStyle w:val="FirstParagraph"/>
      </w:pPr>
      <w:r>
        <w:drawing>
          <wp:inline>
            <wp:extent cx="3077999" cy="792042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out-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999" cy="792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Sistemas a abranger:</w:t>
      </w:r>
      <w:r>
        <w:t xml:space="preserve"> </w:t>
      </w:r>
      <w:r>
        <w:t xml:space="preserve">{{base de dados principal, ERP, prestador de e-mail, ferramenta de suporte, analítica, backups}}</w:t>
      </w:r>
    </w:p>
    <w:p>
      <w:pPr>
        <w:pStyle w:val="BodyText"/>
      </w:pPr>
      <w:r>
        <w:rPr>
          <w:b/>
          <w:bCs/>
        </w:rPr>
        <w:t xml:space="preserve">Backups:</w:t>
      </w:r>
      <w:r>
        <w:t xml:space="preserve"> </w:t>
      </w:r>
      <w:r>
        <w:t xml:space="preserve">os dados não são apagados dos backups existentes (tecnicamente inviável e comprometeria a integridade). Abordagem:</w:t>
      </w:r>
      <w:r>
        <w:t xml:space="preserve"> </w:t>
      </w:r>
      <w:r>
        <w:rPr>
          <w:b/>
          <w:bCs/>
        </w:rPr>
        <w:t xml:space="preserve">os backups expiram naturalmente em {{35 dias}}</w:t>
      </w:r>
      <w:r>
        <w:t xml:space="preserve"> </w:t>
      </w:r>
      <w:r>
        <w:t xml:space="preserve">e a lista de apagamento é</w:t>
      </w:r>
      <w:r>
        <w:t xml:space="preserve"> </w:t>
      </w:r>
      <w:r>
        <w:rPr>
          <w:b/>
          <w:bCs/>
        </w:rPr>
        <w:t xml:space="preserve">reaplicada após qualquer restauro</w:t>
      </w:r>
      <w:r>
        <w:t xml:space="preserve">. Documentar esta abordagem é o que torna a prática defensável.</w:t>
      </w:r>
    </w:p>
    <w:p>
      <w:pPr>
        <w:pStyle w:val="BodyText"/>
      </w:pPr>
      <w:r>
        <w:rPr>
          <w:b/>
          <w:bCs/>
        </w:rPr>
        <w:t xml:space="preserve">O que se conserva apesar do pedido</w:t>
      </w:r>
      <w:r>
        <w:t xml:space="preserve"> </w:t>
      </w:r>
      <w:r>
        <w:t xml:space="preserve">| Dado | Fundamento | Prazo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{{Faturas}} | {{Obrigação fiscal — 10 anos}} | {{10 anos}} |</w:t>
      </w:r>
      <w:r>
        <w:t xml:space="preserve"> </w:t>
      </w:r>
      <w:r>
        <w:t xml:space="preserve">| {{Registo de que houve pedido de apagamento}} | {{Prova de cumprimento}} | {{5 anos}} |</w:t>
      </w:r>
    </w:p>
    <w:p>
      <w:r>
        <w:pict>
          <v:rect style="width:0;height:1.5pt" o:hralign="center" o:hrstd="t" o:hr="t"/>
        </w:pict>
      </w:r>
    </w:p>
    <w:bookmarkEnd w:id="63"/>
    <w:bookmarkStart w:id="64" w:name="subcontratantes-art.-28"/>
    <w:p>
      <w:pPr>
        <w:pStyle w:val="Heading2"/>
      </w:pPr>
      <w:r>
        <w:t xml:space="preserve">6. Subcontratantes (art. 28)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Subcontratante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Contrato de subcontratação</w:t>
            </w:r>
          </w:p>
        </w:tc>
        <w:tc>
          <w:tcPr/>
          <w:p>
            <w:pPr>
              <w:pStyle w:val="Compact"/>
            </w:pPr>
            <w:r>
              <w:t xml:space="preserve">Transferência internacional</w:t>
            </w:r>
          </w:p>
        </w:tc>
        <w:tc>
          <w:tcPr/>
          <w:p>
            <w:pPr>
              <w:pStyle w:val="Compact"/>
            </w:pPr>
            <w:r>
              <w:t xml:space="preserve">Última avaliação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{{Cloud X}}</w:t>
            </w:r>
          </w:p>
        </w:tc>
        <w:tc>
          <w:tcPr/>
          <w:p>
            <w:pPr>
              <w:pStyle w:val="Compact"/>
            </w:pPr>
            <w:r>
              <w:t xml:space="preserve">Alojamento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{{UE — Irlanda}}</w:t>
            </w:r>
          </w:p>
        </w:tc>
        <w:tc>
          <w:tcPr/>
          <w:p>
            <w:pPr>
              <w:pStyle w:val="Compact"/>
            </w:pPr>
            <w:r>
              <w:t xml:space="preserve">{{Assinado {{data}}}}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{{Prestador e-mail}}</w:t>
            </w:r>
          </w:p>
        </w:tc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Nome, e-mail</w:t>
            </w:r>
          </w:p>
        </w:tc>
        <w:tc>
          <w:tcPr/>
          <w:p>
            <w:pPr>
              <w:pStyle w:val="Compact"/>
            </w:pPr>
            <w:r>
              <w:t xml:space="preserve">{{UE}}</w:t>
            </w:r>
          </w:p>
        </w:tc>
        <w:tc>
          <w:tcPr/>
          <w:p>
            <w:pPr>
              <w:pStyle w:val="Compact"/>
            </w:pPr>
            <w:r>
              <w:t xml:space="preserve">{{Assinado}}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{{Ferramenta de suporte}}</w:t>
            </w:r>
          </w:p>
        </w:tc>
        <w:tc>
          <w:tcPr/>
          <w:p>
            <w:pPr>
              <w:pStyle w:val="Compact"/>
            </w:pPr>
            <w:r>
              <w:t xml:space="preserve">Apoio ao cliente</w:t>
            </w:r>
          </w:p>
        </w:tc>
        <w:tc>
          <w:tcPr/>
          <w:p>
            <w:pPr>
              <w:pStyle w:val="Compact"/>
            </w:pPr>
            <w:r>
              <w:t xml:space="preserve">Nome, e-mail, histórico</w:t>
            </w:r>
          </w:p>
        </w:tc>
        <w:tc>
          <w:tcPr/>
          <w:p>
            <w:pPr>
              <w:pStyle w:val="Compact"/>
            </w:pPr>
            <w:r>
              <w:t xml:space="preserve">{{EUA}}</w:t>
            </w:r>
          </w:p>
        </w:tc>
        <w:tc>
          <w:tcPr/>
          <w:p>
            <w:pPr>
              <w:pStyle w:val="Compact"/>
            </w:pPr>
            <w:r>
              <w:t xml:space="preserve">{{Assinado}}</w:t>
            </w:r>
          </w:p>
        </w:tc>
        <w:tc>
          <w:tcPr/>
          <w:p>
            <w:pPr>
              <w:pStyle w:val="Compact"/>
            </w:pPr>
            <w:r>
              <w:t xml:space="preserve">{{Sim — DPF / cláusulas-tipo}}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Requisitos para adicionar um novo subcontratante:</w:t>
      </w:r>
      <w:r>
        <w:t xml:space="preserve"> </w:t>
      </w:r>
      <w:r>
        <w:t xml:space="preserve">avaliação de segurança · contrato de subcontratação assinado · localização e transferências documentadas · atualização da política de privacidade · notificação aos titulares se relevante.</w:t>
      </w:r>
    </w:p>
    <w:p>
      <w:r>
        <w:pict>
          <v:rect style="width:0;height:1.5pt" o:hralign="center" o:hrstd="t" o:hr="t"/>
        </w:pict>
      </w:r>
    </w:p>
    <w:bookmarkEnd w:id="64"/>
    <w:bookmarkStart w:id="66" w:name="avaliação-de-impacto-dpia"/>
    <w:p>
      <w:pPr>
        <w:pStyle w:val="Heading2"/>
      </w:pPr>
      <w:r>
        <w:t xml:space="preserve">7. Avaliação de Impacto (DPIA)</w:t>
      </w:r>
    </w:p>
    <w:p>
      <w:pPr>
        <w:pStyle w:val="FirstParagraph"/>
      </w:pPr>
      <w:r>
        <w:rPr>
          <w:b/>
          <w:bCs/>
        </w:rPr>
        <w:t xml:space="preserve">É obrigatória quando:</w:t>
      </w:r>
      <w:r>
        <w:t xml:space="preserve"> </w:t>
      </w:r>
      <w:r>
        <w:t xml:space="preserve">tratamento em larga escala de categorias especiais · perfilamento com efeitos jurídicos · monitorização sistemática de zonas públicas · uso de novas tecnologias com risco elevado.</w:t>
      </w:r>
    </w:p>
    <w:p>
      <w:pPr>
        <w:pStyle w:val="BodyText"/>
      </w:pPr>
      <w:r>
        <w:rPr>
          <w:b/>
          <w:bCs/>
        </w:rPr>
        <w:t xml:space="preserve">Necessária neste projeto?</w:t>
      </w:r>
      <w:r>
        <w:t xml:space="preserve"> </w:t>
      </w:r>
      <w:r>
        <w:t xml:space="preserve">{{Não — justificação: {{…}}}} / {{Sim — ver documento {{link}}}}</w:t>
      </w:r>
    </w:p>
    <w:bookmarkStart w:id="65" w:name="estrutura-da-dpia-se-aplicável"/>
    <w:p>
      <w:pPr>
        <w:pStyle w:val="Heading3"/>
      </w:pPr>
      <w:r>
        <w:t xml:space="preserve">Estrutura da DPIA (se aplicável)</w:t>
      </w:r>
    </w:p>
    <w:p>
      <w:pPr>
        <w:pStyle w:val="Compact"/>
        <w:numPr>
          <w:ilvl w:val="0"/>
          <w:numId w:val="1001"/>
        </w:numPr>
      </w:pPr>
      <w:r>
        <w:t xml:space="preserve">Descrição sistemática do tratamento</w:t>
      </w:r>
    </w:p>
    <w:p>
      <w:pPr>
        <w:pStyle w:val="Compact"/>
        <w:numPr>
          <w:ilvl w:val="0"/>
          <w:numId w:val="1001"/>
        </w:numPr>
      </w:pPr>
      <w:r>
        <w:t xml:space="preserve">Necessidade e proporcionalidade</w:t>
      </w:r>
    </w:p>
    <w:p>
      <w:pPr>
        <w:pStyle w:val="Compact"/>
        <w:numPr>
          <w:ilvl w:val="0"/>
          <w:numId w:val="1001"/>
        </w:numPr>
      </w:pPr>
      <w:r>
        <w:t xml:space="preserve">Riscos para os direitos e liberdades dos titulares</w:t>
      </w:r>
    </w:p>
    <w:p>
      <w:pPr>
        <w:pStyle w:val="Compact"/>
        <w:numPr>
          <w:ilvl w:val="0"/>
          <w:numId w:val="1001"/>
        </w:numPr>
      </w:pPr>
      <w:r>
        <w:t xml:space="preserve">Medidas para fazer face aos riscos</w:t>
      </w:r>
    </w:p>
    <w:p>
      <w:pPr>
        <w:pStyle w:val="Compact"/>
        <w:numPr>
          <w:ilvl w:val="0"/>
          <w:numId w:val="1001"/>
        </w:numPr>
      </w:pPr>
      <w:r>
        <w:t xml:space="preserve">Parecer do DPO</w:t>
      </w:r>
    </w:p>
    <w:p>
      <w:pPr>
        <w:pStyle w:val="Compact"/>
        <w:numPr>
          <w:ilvl w:val="0"/>
          <w:numId w:val="1001"/>
        </w:numPr>
      </w:pPr>
      <w:r>
        <w:t xml:space="preserve">Consulta à autoridade de controlo, se o risco residual for elevado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sentimento-e-cookies"/>
    <w:p>
      <w:pPr>
        <w:pStyle w:val="Heading2"/>
      </w:pPr>
      <w:r>
        <w:t xml:space="preserve">8. Consentimento e cookies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Consentimento livre, específico, informado e inequívoco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Ação afirmativa (sem caixas pré-marcadas)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Retirar é tão fácil como dar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quando, como e a quê se consentiu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não essenciais só após consentimento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Rejeitar é tão fácil como aceitar (mesmo nível)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Consentimento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sessao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Sessão</w:t>
            </w:r>
          </w:p>
        </w:tc>
        <w:tc>
          <w:tcPr/>
          <w:p>
            <w:pPr>
              <w:pStyle w:val="Compact"/>
            </w:pPr>
            <w:r>
              <w:t xml:space="preserve">Não necessário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preferencias</w:t>
            </w:r>
          </w:p>
        </w:tc>
        <w:tc>
          <w:tcPr/>
          <w:p>
            <w:pPr>
              <w:pStyle w:val="Compact"/>
            </w:pPr>
            <w:r>
              <w:t xml:space="preserve">Idioma, tema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1 ano</w:t>
            </w:r>
          </w:p>
        </w:tc>
        <w:tc>
          <w:tcPr/>
          <w:p>
            <w:pPr>
              <w:pStyle w:val="Compact"/>
            </w:pPr>
            <w:r>
              <w:t xml:space="preserve">Não necessário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analytics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{{Estatísticas}}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{{13 meses}}</w:t>
            </w:r>
          </w:p>
        </w:tc>
        <w:tc>
          <w:tcPr/>
          <w:p>
            <w:pPr>
              <w:pStyle w:val="Compact"/>
            </w:pPr>
            <w:r>
              <w:t xml:space="preserve">Necessário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privacidade-desde-a-conceção-art.-25"/>
    <w:p>
      <w:pPr>
        <w:pStyle w:val="Heading2"/>
      </w:pPr>
      <w:r>
        <w:t xml:space="preserve">9. Privacidade desde a conceção (art. 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Aplicação neste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Minimização por omissão</w:t>
            </w:r>
          </w:p>
        </w:tc>
        <w:tc>
          <w:tcPr/>
          <w:p>
            <w:pPr>
              <w:pStyle w:val="Compact"/>
            </w:pPr>
            <w:r>
              <w:t xml:space="preserve">{{Campos opcionais são realmente opcionais; não se pede o que não se usa}}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Pseudonimização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nos logs em vez de e-mail}}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Definições mais protetoras por omissão</w:t>
            </w:r>
          </w:p>
        </w:tc>
        <w:tc>
          <w:tcPr/>
          <w:p>
            <w:pPr>
              <w:pStyle w:val="Compact"/>
            </w:pPr>
            <w:r>
              <w:t xml:space="preserve">{{Marketing desligado por omissão}}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como código</w:t>
            </w:r>
          </w:p>
        </w:tc>
        <w:tc>
          <w:tcPr/>
          <w:p>
            <w:pPr>
              <w:pStyle w:val="Compact"/>
            </w:pPr>
            <w:r>
              <w:t xml:space="preserve">{{Job de eliminação automática, testado}}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Anonimização em ambientes de teste</w:t>
            </w:r>
          </w:p>
        </w:tc>
        <w:tc>
          <w:tcPr/>
          <w:p>
            <w:pPr>
              <w:pStyle w:val="Compact"/>
            </w:pPr>
            <w:r>
              <w:t xml:space="preserve">{{Irreversível, verificada automaticamente}}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privacidade em funcionalidades novas</w:t>
            </w:r>
          </w:p>
        </w:tc>
        <w:tc>
          <w:tcPr/>
          <w:p>
            <w:pPr>
              <w:pStyle w:val="Compact"/>
            </w:pPr>
            <w:r>
              <w:t xml:space="preserve">{{Secção obrigatória no PRD}}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1" w:name="violações-de-dados"/>
    <w:p>
      <w:pPr>
        <w:pStyle w:val="Heading2"/>
      </w:pPr>
      <w:r>
        <w:t xml:space="preserve">10. Violações de dados</w:t>
      </w:r>
    </w:p>
    <w:p>
      <w:pPr>
        <w:pStyle w:val="FirstParagraph"/>
      </w:pPr>
      <w:r>
        <w:rPr>
          <w:b/>
          <w:bCs/>
        </w:rPr>
        <w:t xml:space="preserve">Prazo de notificação à autoridade de controlo: 72 horas</w:t>
      </w:r>
      <w:r>
        <w:t xml:space="preserve"> </w:t>
      </w:r>
      <w:r>
        <w:t xml:space="preserve">a partir do conhecimento.</w:t>
      </w:r>
      <w:r>
        <w:t xml:space="preserve"> </w:t>
      </w:r>
      <w:r>
        <w:t xml:space="preserve">Ver procedimento em</w:t>
      </w:r>
      <w:r>
        <w:t xml:space="preserve"> </w:t>
      </w:r>
      <w:hyperlink r:id="rId69">
        <w:r>
          <w:rPr>
            <w:rStyle w:val="Hyperlink"/>
          </w:rPr>
          <w:t xml:space="preserve">SECURITY §6</w:t>
        </w:r>
      </w:hyperlink>
      <w:r>
        <w:t xml:space="preserve">.</w:t>
      </w:r>
    </w:p>
    <w:bookmarkStart w:id="70" w:name="X4d12bd81421d2984e5607fd7af02a3de804ef8b"/>
    <w:p>
      <w:pPr>
        <w:pStyle w:val="Heading3"/>
      </w:pPr>
      <w:r>
        <w:t xml:space="preserve">Registo de violações (obrigatório, mesmo as não notificadas)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Dados afetados</w:t>
            </w:r>
          </w:p>
        </w:tc>
        <w:tc>
          <w:tcPr/>
          <w:p>
            <w:pPr>
              <w:pStyle w:val="Compact"/>
            </w:pPr>
            <w:r>
              <w:t xml:space="preserve">Titulares</w:t>
            </w:r>
          </w:p>
        </w:tc>
        <w:tc>
          <w:tcPr/>
          <w:p>
            <w:pPr>
              <w:pStyle w:val="Compact"/>
            </w:pPr>
            <w:r>
              <w:t xml:space="preserve">Notificada?</w:t>
            </w:r>
          </w:p>
        </w:tc>
        <w:tc>
          <w:tcPr/>
          <w:p>
            <w:pPr>
              <w:pStyle w:val="Compact"/>
            </w:pPr>
            <w:r>
              <w:t xml:space="preserve">Medidas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{{n.º}}</w:t>
            </w:r>
          </w:p>
        </w:tc>
        <w:tc>
          <w:tcPr/>
          <w:p>
            <w:pPr>
              <w:pStyle w:val="Compact"/>
            </w:pPr>
            <w:r>
              <w:t xml:space="preserve">{{Sim/Não + justificação}}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70"/>
    <w:bookmarkEnd w:id="7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hyperlink" Id="rId56" Target="01-security.md" TargetMode="External" /><Relationship Type="http://schemas.openxmlformats.org/officeDocument/2006/relationships/hyperlink" Id="rId69" Target="01-security.md#6-resposta-a-incidentes-de-seguran&#231;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01-security.md" TargetMode="External" /><Relationship Type="http://schemas.openxmlformats.org/officeDocument/2006/relationships/hyperlink" Id="rId69" Target="01-security.md#6-resposta-a-incidentes-de-seguran&#231;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Privacidade e Conformidade com o RGPD</dc:title>
  <dc:creator/>
  <dc:language>pt-PT</dc:language>
  <cp:keywords/>
  <dcterms:created xsi:type="dcterms:W3CDTF">2026-08-24T10:58:41Z</dcterms:created>
  <dcterms:modified xsi:type="dcterms:W3CDTF">2026-08-24T10:58:41Z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