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Matriz de Riscos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Responsável: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Última revisão: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Próxima revisão:</w:t>
      </w:r>
      <w:r>
        <w:t xml:space="preserve"> </w:t>
      </w:r>
      <w:r>
        <w:t xml:space="preserve">{{data}}</w:t>
      </w:r>
    </w:p>
    <w:p>
      <w:r>
        <w:pict>
          <v:rect style="width:0;height:1.5pt" o:hralign="center" o:hrstd="t" o:hr="t"/>
        </w:pict>
      </w:r>
    </w:p>
    <w:bookmarkStart w:id="52" w:name="escalas"/>
    <w:p>
      <w:pPr>
        <w:pStyle w:val="Heading2"/>
      </w:pPr>
      <w:r>
        <w:t xml:space="preserve">1. Escalas</w:t>
      </w:r>
    </w:p>
    <w:bookmarkStart w:id="49" w:name="probabilidade"/>
    <w:p>
      <w:pPr>
        <w:pStyle w:val="Heading3"/>
      </w:pPr>
      <w:r>
        <w:t xml:space="preserve">Probabilidade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Indicação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Muito alta</w:t>
            </w:r>
          </w:p>
        </w:tc>
        <w:tc>
          <w:tcPr/>
          <w:p>
            <w:pPr>
              <w:pStyle w:val="Compact"/>
            </w:pPr>
            <w:r>
              <w:t xml:space="preserve">Espera-se que aconteça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Alta</w:t>
            </w:r>
          </w:p>
        </w:tc>
        <w:tc>
          <w:tcPr/>
          <w:p>
            <w:pPr>
              <w:pStyle w:val="Compact"/>
            </w:pPr>
            <w:r>
              <w:t xml:space="preserve">Provável</w:t>
            </w:r>
          </w:p>
        </w:tc>
        <w:tc>
          <w:tcPr/>
          <w:p>
            <w:pPr>
              <w:pStyle w:val="Compact"/>
            </w:pPr>
            <w:r>
              <w:t xml:space="preserve">50–80%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Média</w:t>
            </w:r>
          </w:p>
        </w:tc>
        <w:tc>
          <w:tcPr/>
          <w:p>
            <w:pPr>
              <w:pStyle w:val="Compact"/>
            </w:pPr>
            <w:r>
              <w:t xml:space="preserve">Pode acontecer</w:t>
            </w:r>
          </w:p>
        </w:tc>
        <w:tc>
          <w:tcPr/>
          <w:p>
            <w:pPr>
              <w:pStyle w:val="Compact"/>
            </w:pPr>
            <w:r>
              <w:t xml:space="preserve">20–50%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Baixa</w:t>
            </w:r>
          </w:p>
        </w:tc>
        <w:tc>
          <w:tcPr/>
          <w:p>
            <w:pPr>
              <w:pStyle w:val="Compact"/>
            </w:pPr>
            <w:r>
              <w:t xml:space="preserve">Improvável</w:t>
            </w:r>
          </w:p>
        </w:tc>
        <w:tc>
          <w:tcPr/>
          <w:p>
            <w:pPr>
              <w:pStyle w:val="Compact"/>
            </w:pPr>
            <w:r>
              <w:t xml:space="preserve">5–20%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Muito baixa</w:t>
            </w:r>
          </w:p>
        </w:tc>
        <w:tc>
          <w:tcPr/>
          <w:p>
            <w:pPr>
              <w:pStyle w:val="Compact"/>
            </w:pPr>
            <w:r>
              <w:t xml:space="preserve">Raro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</w:tbl>
    <w:bookmarkEnd w:id="49"/>
    <w:bookmarkStart w:id="50" w:name="impacto"/>
    <w:p>
      <w:pPr>
        <w:pStyle w:val="Heading3"/>
      </w:pPr>
      <w:r>
        <w:t xml:space="preserve">Impacto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Reputação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Crítico</w:t>
            </w:r>
          </w:p>
        </w:tc>
        <w:tc>
          <w:tcPr/>
          <w:p>
            <w:pPr>
              <w:pStyle w:val="Compact"/>
            </w:pPr>
            <w:r>
              <w:t xml:space="preserve">&gt; 2 meses</w:t>
            </w:r>
          </w:p>
        </w:tc>
        <w:tc>
          <w:tcPr/>
          <w:p>
            <w:pPr>
              <w:pStyle w:val="Compact"/>
            </w:pPr>
            <w:r>
              <w:t xml:space="preserve">&gt; {{X €}}</w:t>
            </w:r>
          </w:p>
        </w:tc>
        <w:tc>
          <w:tcPr/>
          <w:p>
            <w:pPr>
              <w:pStyle w:val="Compact"/>
            </w:pPr>
            <w:r>
              <w:t xml:space="preserve">Inutilizável</w:t>
            </w:r>
          </w:p>
        </w:tc>
        <w:tc>
          <w:tcPr/>
          <w:p>
            <w:pPr>
              <w:pStyle w:val="Compact"/>
            </w:pPr>
            <w:r>
              <w:t xml:space="preserve">Cobertura mediática negativa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Alto</w:t>
            </w:r>
          </w:p>
        </w:tc>
        <w:tc>
          <w:tcPr/>
          <w:p>
            <w:pPr>
              <w:pStyle w:val="Compact"/>
            </w:pPr>
            <w:r>
              <w:t xml:space="preserve">1–2 meses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Funcionalidade principal falha</w:t>
            </w:r>
          </w:p>
        </w:tc>
        <w:tc>
          <w:tcPr/>
          <w:p>
            <w:pPr>
              <w:pStyle w:val="Compact"/>
            </w:pPr>
            <w:r>
              <w:t xml:space="preserve">Perda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Médio</w:t>
            </w:r>
          </w:p>
        </w:tc>
        <w:tc>
          <w:tcPr/>
          <w:p>
            <w:pPr>
              <w:pStyle w:val="Compact"/>
            </w:pPr>
            <w:r>
              <w:t xml:space="preserve">2–4 semanas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Degradação notória</w:t>
            </w:r>
          </w:p>
        </w:tc>
        <w:tc>
          <w:tcPr/>
          <w:p>
            <w:pPr>
              <w:pStyle w:val="Compact"/>
            </w:pPr>
            <w:r>
              <w:t xml:space="preserve">Queixas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Baixo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Incómodo</w:t>
            </w:r>
          </w:p>
        </w:tc>
        <w:tc>
          <w:tcPr/>
          <w:p>
            <w:pPr>
              <w:pStyle w:val="Compact"/>
            </w:pPr>
            <w:r>
              <w:t xml:space="preserve">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Mínimo</w:t>
            </w:r>
          </w:p>
        </w:tc>
        <w:tc>
          <w:tcPr/>
          <w:p>
            <w:pPr>
              <w:pStyle w:val="Compact"/>
            </w:pPr>
            <w:r>
              <w:t xml:space="preserve">&lt; 1 semana</w:t>
            </w:r>
          </w:p>
        </w:tc>
        <w:tc>
          <w:tcPr/>
          <w:p>
            <w:pPr>
              <w:pStyle w:val="Compact"/>
            </w:pPr>
            <w:r>
              <w:t xml:space="preserve">Desprezável</w:t>
            </w:r>
          </w:p>
        </w:tc>
        <w:tc>
          <w:tcPr/>
          <w:p>
            <w:pPr>
              <w:pStyle w:val="Compact"/>
            </w:pPr>
            <w:r>
              <w:t xml:space="preserve">Cosmético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</w:tbl>
    <w:bookmarkEnd w:id="50"/>
    <w:bookmarkStart w:id="51" w:name="nível-de-risco-p-i"/>
    <w:p>
      <w:pPr>
        <w:pStyle w:val="Heading3"/>
      </w:pPr>
      <w:r>
        <w:t xml:space="preserve">Nível de risco (P × 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I=1</w:t>
            </w:r>
          </w:p>
        </w:tc>
        <w:tc>
          <w:tcPr/>
          <w:p>
            <w:pPr>
              <w:pStyle w:val="Compact"/>
            </w:pPr>
            <w:r>
              <w:t xml:space="preserve">I=2</w:t>
            </w:r>
          </w:p>
        </w:tc>
        <w:tc>
          <w:tcPr/>
          <w:p>
            <w:pPr>
              <w:pStyle w:val="Compact"/>
            </w:pPr>
            <w:r>
              <w:t xml:space="preserve">I=3</w:t>
            </w:r>
          </w:p>
        </w:tc>
        <w:tc>
          <w:tcPr/>
          <w:p>
            <w:pPr>
              <w:pStyle w:val="Compact"/>
            </w:pPr>
            <w:r>
              <w:t xml:space="preserve">I=4</w:t>
            </w:r>
          </w:p>
        </w:tc>
        <w:tc>
          <w:tcPr/>
          <w:p>
            <w:pPr>
              <w:pStyle w:val="Compact"/>
            </w:pPr>
            <w:r>
              <w:t xml:space="preserve">I=5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</w:t>
            </w:r>
          </w:p>
        </w:tc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Ação exigida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Extremo</w:t>
            </w:r>
          </w:p>
        </w:tc>
        <w:tc>
          <w:tcPr/>
          <w:p>
            <w:pPr>
              <w:pStyle w:val="Compact"/>
            </w:pPr>
            <w:r>
              <w:t xml:space="preserve">Ação imediata; escalar ao sponsor; pode bloquear 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Plano de mitigação com dono e prazo; acompanhamento 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Mitigar se o custo for razoável; acompanhamento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Aceitar e monitorizar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registo-de-riscos"/>
    <w:p>
      <w:pPr>
        <w:pStyle w:val="Heading2"/>
      </w:pPr>
      <w:r>
        <w:t xml:space="preserve">2. Registo de riscos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Ação de mitigação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{{Integração com ERP não suporta o volume}}</w:t>
            </w:r>
          </w:p>
        </w:tc>
        <w:tc>
          <w:tcPr/>
          <w:p>
            <w:pPr>
              <w:pStyle w:val="Compact"/>
            </w:pPr>
            <w:r>
              <w:t xml:space="preserve">{{API limitada a 100 req/min}}</w:t>
            </w:r>
          </w:p>
        </w:tc>
        <w:tc>
          <w:tcPr/>
          <w:p>
            <w:pPr>
              <w:pStyle w:val="Compact"/>
            </w:pPr>
            <w:r>
              <w:t xml:space="preserve">{{Encomendas atrasadas}}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{{Fila + processamento em lote; negociar aumento de quota}}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{{Perda do único especialista em {{X}}}}</w:t>
            </w:r>
          </w:p>
        </w:tc>
        <w:tc>
          <w:tcPr/>
          <w:p>
            <w:pPr>
              <w:pStyle w:val="Compact"/>
            </w:pPr>
            <w:r>
              <w:t xml:space="preserve">{{Concentração de conhecimento}}</w:t>
            </w:r>
          </w:p>
        </w:tc>
        <w:tc>
          <w:tcPr/>
          <w:p>
            <w:pPr>
              <w:pStyle w:val="Compact"/>
            </w:pPr>
            <w:r>
              <w:t xml:space="preserve">{{Paragem de 4-6 semanas}}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Extremo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{{Programação em par; documentação; formar 2.ª pessoa}}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{{Requisitos continuam a mudar}}</w:t>
            </w:r>
          </w:p>
        </w:tc>
        <w:tc>
          <w:tcPr/>
          <w:p>
            <w:pPr>
              <w:pStyle w:val="Compact"/>
            </w:pPr>
            <w:r>
              <w:t xml:space="preserve">{{Stakeholders não alinhados}}</w:t>
            </w:r>
          </w:p>
        </w:tc>
        <w:tc>
          <w:tcPr/>
          <w:p>
            <w:pPr>
              <w:pStyle w:val="Compact"/>
            </w:pPr>
            <w:r>
              <w:t xml:space="preserve">{{Prazo derrapa}}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{{Congelamento de âmbito após {{data}}; processo formal de alterações}}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Aberto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{{Fuga de dados entre tenants}}</w:t>
            </w:r>
          </w:p>
        </w:tc>
        <w:tc>
          <w:tcPr/>
          <w:p>
            <w:pPr>
              <w:pStyle w:val="Compact"/>
            </w:pPr>
            <w:r>
              <w:t xml:space="preserve">{{Consulta sem filtro de tenant}}</w:t>
            </w:r>
          </w:p>
        </w:tc>
        <w:tc>
          <w:tcPr/>
          <w:p>
            <w:pPr>
              <w:pStyle w:val="Compact"/>
            </w:pPr>
            <w:r>
              <w:t xml:space="preserve">{{Violação RGPD; coima}}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{{RLS obrigatória + teste automático de isolamento em todas as tabelas}}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Fechado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Externo</w:t>
            </w:r>
          </w:p>
        </w:tc>
        <w:tc>
          <w:tcPr/>
          <w:p>
            <w:pPr>
              <w:pStyle w:val="Compact"/>
            </w:pPr>
            <w:r>
              <w:t xml:space="preserve">{{Fornecedor cloud aumenta preços}}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{{Custo acima do orçamento}}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Médio</w:t>
            </w:r>
          </w:p>
        </w:tc>
        <w:tc>
          <w:tcPr/>
          <w:p>
            <w:pPr>
              <w:pStyle w:val="Compact"/>
            </w:pPr>
            <w:r>
              <w:t xml:space="preserve">Aceitar</w:t>
            </w:r>
          </w:p>
        </w:tc>
        <w:tc>
          <w:tcPr/>
          <w:p>
            <w:pPr>
              <w:pStyle w:val="Compact"/>
            </w:pPr>
            <w:r>
              <w:t xml:space="preserve">{{Monitorizar; reavaliar anualmente}}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Monitorizado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{{Alteração regulamentar exige mudanças}}</w:t>
            </w:r>
          </w:p>
        </w:tc>
        <w:tc>
          <w:tcPr/>
          <w:p>
            <w:pPr>
              <w:pStyle w:val="Compact"/>
            </w:pPr>
            <w:r>
              <w:t xml:space="preserve">{{{{Regulamento X}} em consulta}}</w:t>
            </w:r>
          </w:p>
        </w:tc>
        <w:tc>
          <w:tcPr/>
          <w:p>
            <w:pPr>
              <w:pStyle w:val="Compact"/>
            </w:pPr>
            <w:r>
              <w:t xml:space="preserve">{{Retrabalho}}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{{Acompanhar; desenhar o módulo de forma configurável}}</w:t>
            </w:r>
          </w:p>
        </w:tc>
        <w:tc>
          <w:tcPr/>
          <w:p>
            <w:pPr>
              <w:pStyle w:val="Compact"/>
            </w:pPr>
            <w:r>
              <w:t xml:space="preserve">{{Jurídico}}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Aberto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{{Equipa sem experiência de on-call}}</w:t>
            </w:r>
          </w:p>
        </w:tc>
        <w:tc>
          <w:tcPr/>
          <w:p>
            <w:pPr>
              <w:pStyle w:val="Compact"/>
            </w:pPr>
            <w:r>
              <w:t xml:space="preserve">{{Primeiro sistema em produção 24/7}}</w:t>
            </w:r>
          </w:p>
        </w:tc>
        <w:tc>
          <w:tcPr/>
          <w:p>
            <w:pPr>
              <w:pStyle w:val="Compact"/>
            </w:pPr>
            <w:r>
              <w:t xml:space="preserve">{{MTTR elevado}}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{{Runbooks + 2 exercícios simulados antes do GA}}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Estratégias:</w:t>
      </w:r>
      <w:r>
        <w:t xml:space="preserve"> </w:t>
      </w:r>
      <w:r>
        <w:t xml:space="preserve">Evitar (eliminar a causa) · Mitigar (reduzir P ou I) · Transferir (seguro, contrato, terceiro) · Aceitar (registar e monitorizar)</w:t>
      </w:r>
    </w:p>
    <w:p>
      <w:r>
        <w:pict>
          <v:rect style="width:0;height:1.5pt" o:hralign="center" o:hrstd="t" o:hr="t"/>
        </w:pict>
      </w:r>
    </w:p>
    <w:bookmarkEnd w:id="53"/>
    <w:bookmarkStart w:id="57" w:name="mapa-de-calor"/>
    <w:p>
      <w:pPr>
        <w:pStyle w:val="Heading2"/>
      </w:pPr>
      <w:r>
        <w:t xml:space="preserve">3. Mapa de calor</w:t>
      </w:r>
    </w:p>
    <w:p>
      <w:pPr>
        <w:pStyle w:val="FirstParagraph"/>
      </w:pPr>
      <w:r>
        <w:drawing>
          <wp:inline>
            <wp:extent cx="6191999" cy="619199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ou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6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"/>
    <w:bookmarkStart w:id="60" w:name="planos-de-contingência"/>
    <w:p>
      <w:pPr>
        <w:pStyle w:val="Heading2"/>
      </w:pPr>
      <w:r>
        <w:t xml:space="preserve">4. Planos de contingência</w:t>
      </w:r>
    </w:p>
    <w:p>
      <w:pPr>
        <w:pStyle w:val="BlockText"/>
      </w:pPr>
      <w:r>
        <w:t xml:space="preserve">Para riscos de nível Extremo e Alto: o que fazer</w:t>
      </w:r>
      <w:r>
        <w:t xml:space="preserve"> </w:t>
      </w:r>
      <w:r>
        <w:rPr>
          <w:b/>
          <w:bCs/>
        </w:rPr>
        <w:t xml:space="preserve">se o risco se materializar</w:t>
      </w:r>
      <w:r>
        <w:t xml:space="preserve">, apesar da mitigação.</w:t>
      </w:r>
    </w:p>
    <w:bookmarkStart w:id="58" w:name="r-02-perda-do-especialista"/>
    <w:p>
      <w:pPr>
        <w:pStyle w:val="Heading3"/>
      </w:pPr>
      <w:r>
        <w:t xml:space="preserve">R-02 — Perda do especialista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{{Comunicação de saída ou ausência prolongada}}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Ação imediata</w:t>
            </w:r>
          </w:p>
        </w:tc>
        <w:tc>
          <w:tcPr/>
          <w:p>
            <w:pPr>
              <w:pStyle w:val="Compact"/>
            </w:pPr>
            <w:r>
              <w:t xml:space="preserve">{{Sessões de transferência de conhecimento gravadas nas 2 semanas de aviso}}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Plano B</w:t>
            </w:r>
          </w:p>
        </w:tc>
        <w:tc>
          <w:tcPr/>
          <w:p>
            <w:pPr>
              <w:pStyle w:val="Compact"/>
            </w:pPr>
            <w:r>
              <w:t xml:space="preserve">{{Contratar consultor externo já identificado ({{empresa}}, ~{{X €}}/dia)}}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do plano B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 residual</w:t>
            </w:r>
          </w:p>
        </w:tc>
        <w:tc>
          <w:tcPr/>
          <w:p>
            <w:pPr>
              <w:pStyle w:val="Compact"/>
            </w:pPr>
            <w:r>
              <w:t xml:space="preserve">{{Atraso de 2-3 semanas em vez de 6}}</w:t>
            </w:r>
          </w:p>
        </w:tc>
      </w:tr>
    </w:tbl>
    <w:bookmarkEnd w:id="58"/>
    <w:bookmarkStart w:id="59" w:name="r-01-erp-não-suporta-o-volume"/>
    <w:p>
      <w:pPr>
        <w:pStyle w:val="Heading3"/>
      </w:pPr>
      <w:r>
        <w:t xml:space="preserve">R-01 — ERP não suporta o volume</w:t>
      </w:r>
    </w:p>
    <w:p>
      <w:pPr>
        <w:pStyle w:val="FirstParagraph"/>
      </w:pPr>
      <w:r>
        <w:rPr>
          <w:b/>
          <w:bCs/>
        </w:rPr>
        <w:t xml:space="preserve">Gatilho</w:t>
      </w:r>
      <w:r>
        <w:t xml:space="preserve"> </w:t>
      </w:r>
      <w:r>
        <w:t xml:space="preserve">| {{Fila acumula &gt; 500 mensagens de forma sustentada}} |</w:t>
      </w:r>
      <w:r>
        <w:br/>
      </w:r>
      <w:r>
        <w:rPr>
          <w:b/>
          <w:bCs/>
        </w:rPr>
        <w:t xml:space="preserve">Ação imediata</w:t>
      </w:r>
      <w:r>
        <w:t xml:space="preserve"> </w:t>
      </w:r>
      <w:r>
        <w:t xml:space="preserve">| {{Ativar modo degradado; processar em lotes noturnos}} |</w:t>
      </w:r>
      <w:r>
        <w:br/>
      </w:r>
      <w:r>
        <w:rPr>
          <w:b/>
          <w:bCs/>
        </w:rPr>
        <w:t xml:space="preserve">Plano B</w:t>
      </w:r>
      <w:r>
        <w:t xml:space="preserve"> </w:t>
      </w:r>
      <w:r>
        <w:t xml:space="preserve">| {{Sincronização por ficheiro em vez de API}} |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iscos-fechados"/>
    <w:p>
      <w:pPr>
        <w:pStyle w:val="Heading2"/>
      </w:pPr>
      <w:r>
        <w:t xml:space="preserve">5. Riscos fechados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Fechado em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{{Fuga entre tenants}}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{{RLS implementada e testada; risco residual Baixo}}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95b0c319ac828f2f33e978f1b123ce43d9b9c14"/>
    <w:p>
      <w:pPr>
        <w:pStyle w:val="Heading2"/>
      </w:pPr>
      <w:r>
        <w:t xml:space="preserve">6. Riscos materializados (tornaram-se problemas)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Impacto real</w:t>
            </w:r>
          </w:p>
        </w:tc>
        <w:tc>
          <w:tcPr/>
          <w:p>
            <w:pPr>
              <w:pStyle w:val="Compact"/>
            </w:pPr>
            <w:r>
              <w:t xml:space="preserve">Eficácia da mitigação</w:t>
            </w:r>
          </w:p>
        </w:tc>
        <w:tc>
          <w:tcPr/>
          <w:p>
            <w:pPr>
              <w:pStyle w:val="Compact"/>
            </w:pPr>
            <w:r>
              <w:t xml:space="preserve">Lição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{{R-08}}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{{Parcial — reduziu de 6 para 3 semanas}}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cadência-de-revisão"/>
    <w:p>
      <w:pPr>
        <w:pStyle w:val="Heading2"/>
      </w:pPr>
      <w:r>
        <w:t xml:space="preserve">7. Cadência de revisão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Fórum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Extremo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{{Reunião de projeto + sponsor}}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Quinzenal</w:t>
            </w:r>
          </w:p>
        </w:tc>
        <w:tc>
          <w:tcPr/>
          <w:p>
            <w:pPr>
              <w:pStyle w:val="Compact"/>
            </w:pPr>
            <w:r>
              <w:t xml:space="preserve">{{Reunião de 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{{Reunião de 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{{Revisão de registo}}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Novos riscos podem ser levantados por qualquer pessoa, a qualquer momento</w:t>
      </w:r>
      <w:r>
        <w:t xml:space="preserve">, em {{canal/processo}}.</w:t>
      </w:r>
    </w:p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Riscos — {{PROJETO}}</dc:title>
  <dc:creator/>
  <dc:language>pt-PT</dc:language>
  <cp:keywords/>
  <dcterms:created xsi:type="dcterms:W3CDTF">2026-08-24T10:58:42Z</dcterms:created>
  <dcterms:modified xsi:type="dcterms:W3CDTF">2026-08-24T10:58:42Z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