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Licenças e Componentes de Terceiros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Revisão:</w:t>
      </w:r>
      <w:r>
        <w:t xml:space="preserve"> </w:t>
      </w:r>
      <w:r>
        <w:t xml:space="preserve">{{trimestral}}</w:t>
      </w:r>
    </w:p>
    <w:p>
      <w:r>
        <w:pict>
          <v:rect style="width:0;height:1.5pt" o:hralign="center" o:hrstd="t" o:hr="t"/>
        </w:pict>
      </w:r>
    </w:p>
    <w:bookmarkStart w:id="49" w:name="licença-do-próprio-projeto"/>
    <w:p>
      <w:pPr>
        <w:pStyle w:val="Heading2"/>
      </w:pPr>
      <w:r>
        <w:t xml:space="preserve">1. Licença do próprio projeto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{{MIT / Apache-2.0 / proprietária}}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Titular dos direitos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LICENSE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Cabeçalho nos ficheiros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porque-isto-importa"/>
    <w:p>
      <w:pPr>
        <w:pStyle w:val="Heading2"/>
      </w:pPr>
      <w:r>
        <w:t xml:space="preserve">2. Porque isto importa</w:t>
      </w:r>
    </w:p>
    <w:p>
      <w:pPr>
        <w:pStyle w:val="FirstParagraph"/>
      </w:pPr>
      <w:r>
        <w:t xml:space="preserve">Uma dependência com licença copyleft forte dentro de um produto distribuído</w:t>
      </w:r>
      <w:r>
        <w:t xml:space="preserve"> </w:t>
      </w:r>
      <w:r>
        <w:t xml:space="preserve">pode obrigar a publicar o código todo. Não é uma questão teórica: descobre-se</w:t>
      </w:r>
      <w:r>
        <w:t xml:space="preserve"> </w:t>
      </w:r>
      <w:r>
        <w:t xml:space="preserve">tipicamente na véspera de uma entrega, quando já não há tempo para substituir.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a licença verifica-se</w:t>
      </w:r>
      <w:r>
        <w:t xml:space="preserve"> </w:t>
      </w:r>
      <w:r>
        <w:rPr>
          <w:b/>
          <w:bCs/>
        </w:rPr>
        <w:t xml:space="preserve">quando a dependência entra</w:t>
      </w:r>
      <w:r>
        <w:t xml:space="preserve">, não antes de</w:t>
      </w:r>
      <w:r>
        <w:t xml:space="preserve"> </w:t>
      </w:r>
      <w:r>
        <w:t xml:space="preserve">entregar.</w:t>
      </w:r>
    </w:p>
    <w:p>
      <w:r>
        <w:pict>
          <v:rect style="width:0;height:1.5pt" o:hralign="center" o:hrstd="t" o:hr="t"/>
        </w:pict>
      </w:r>
    </w:p>
    <w:bookmarkEnd w:id="50"/>
    <w:bookmarkStart w:id="51" w:name="licenças-o-que-se-pode-e-não-se-pode"/>
    <w:p>
      <w:pPr>
        <w:pStyle w:val="Heading2"/>
      </w:pPr>
      <w:r>
        <w:t xml:space="preserve">3. Licenças — o que se pode e não se pode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Uso interno</w:t>
            </w:r>
          </w:p>
        </w:tc>
        <w:tc>
          <w:tcPr/>
          <w:p>
            <w:pPr>
              <w:pStyle w:val="Compact"/>
            </w:pPr>
            <w:r>
              <w:t xml:space="preserve">Distribuição</w:t>
            </w:r>
          </w:p>
        </w:tc>
        <w:tc>
          <w:tcPr/>
          <w:p>
            <w:pPr>
              <w:pStyle w:val="Compact"/>
            </w:pPr>
            <w:r>
              <w:t xml:space="preserve">Obriga a publicar 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MIT, BSD, ISC, Apache-2.0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MPL-2.0, LGPL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Só os ficheiros alterados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 cuidado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GPL-2.0, GPL-3.0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Sim, se distribuído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Aprovação necessária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AGPL-3.0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Sim,</w:t>
            </w:r>
            <w:r>
              <w:t xml:space="preserve"> </w:t>
            </w:r>
            <w:r>
              <w:rPr>
                <w:b/>
                <w:bCs/>
              </w:rPr>
              <w:t xml:space="preserve">mesmo em SaaS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Aprovação necessária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licença</w:t>
            </w:r>
          </w:p>
        </w:tc>
        <w:tc>
          <w:tcPr/>
          <w:p>
            <w:pPr>
              <w:pStyle w:val="Compact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Proibido</w:t>
            </w:r>
            <w:r>
              <w:t xml:space="preserve"> </w:t>
            </w:r>
            <w:r>
              <w:t xml:space="preserve">— sem licença não há permissão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Conforme contrato</w:t>
            </w:r>
          </w:p>
        </w:tc>
        <w:tc>
          <w:tcPr/>
          <w:p>
            <w:pPr>
              <w:pStyle w:val="Compact"/>
            </w:pPr>
            <w:r>
              <w:t xml:space="preserve">Conforme contrato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Verificar termos</w:t>
            </w:r>
          </w:p>
        </w:tc>
      </w:tr>
    </w:tbl>
    <w:p>
      <w:pPr>
        <w:pStyle w:val="BlockText"/>
      </w:pPr>
      <w:r>
        <w:t xml:space="preserve">“Está no GitHub”</w:t>
      </w:r>
      <w:r>
        <w:t xml:space="preserve"> </w:t>
      </w:r>
      <w:r>
        <w:t xml:space="preserve">não é uma licença. Código sem licença é código sem permissão</w:t>
      </w:r>
      <w:r>
        <w:t xml:space="preserve"> </w:t>
      </w:r>
      <w:r>
        <w:t xml:space="preserve">de uso, por omissão da lei de direitos de autor.</w:t>
      </w:r>
    </w:p>
    <w:p>
      <w:r>
        <w:pict>
          <v:rect style="width:0;height:1.5pt" o:hralign="center" o:hrstd="t" o:hr="t"/>
        </w:pict>
      </w:r>
    </w:p>
    <w:bookmarkEnd w:id="51"/>
    <w:bookmarkStart w:id="52" w:name="inventário-de-dependências-sbom"/>
    <w:p>
      <w:pPr>
        <w:pStyle w:val="Heading2"/>
      </w:pPr>
      <w:r>
        <w:t xml:space="preserve">4. Inventário de dependências (SBOM)</w:t>
      </w:r>
    </w:p>
    <w:p>
      <w:pPr>
        <w:pStyle w:val="FirstParagraph"/>
      </w:pPr>
      <w:r>
        <w:t xml:space="preserve">Gerado automaticamente.</w:t>
      </w:r>
      <w:r>
        <w:t xml:space="preserve"> </w:t>
      </w:r>
      <w:r>
        <w:rPr>
          <w:b/>
          <w:bCs/>
        </w:rPr>
        <w:t xml:space="preserve">Não manter à mão</w:t>
      </w:r>
      <w:r>
        <w:t xml:space="preserve"> </w:t>
      </w:r>
      <w:r>
        <w:t xml:space="preserve">— desactualiza-se numa semana.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Ecossistema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Ficheiro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{{Python}}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{{pip-licenses --format=csv}}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{{Node}}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{{npx license-checker --csv}}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{{.NET}}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{{...}}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Direta?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{{django}}</w:t>
            </w:r>
          </w:p>
        </w:tc>
        <w:tc>
          <w:tcPr/>
          <w:p>
            <w:pPr>
              <w:pStyle w:val="Compact"/>
            </w:pPr>
            <w:r>
              <w:t xml:space="preserve">{{6.0}}</w:t>
            </w:r>
          </w:p>
        </w:tc>
        <w:tc>
          <w:tcPr/>
          <w:p>
            <w:pPr>
              <w:pStyle w:val="Compact"/>
            </w:pPr>
            <w:r>
              <w:t xml:space="preserve">BSD-3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{{Framework}}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Nº de componentes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Permissivas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Copyleft fraco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Copyleft forte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Desconhecida</w:t>
            </w:r>
          </w:p>
        </w:tc>
        <w:tc>
          <w:tcPr/>
          <w:p>
            <w:pPr>
              <w:pStyle w:val="Compact"/>
            </w:pPr>
            <w:r>
              <w:t xml:space="preserve">{{0 — qualquer valor &gt; 0 é um bloqueio}}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obrigações-de-atribuição"/>
    <w:p>
      <w:pPr>
        <w:pStyle w:val="Heading2"/>
      </w:pPr>
      <w:r>
        <w:t xml:space="preserve">5. Obrigações de atribuição</w:t>
      </w:r>
    </w:p>
    <w:p>
      <w:pPr>
        <w:pStyle w:val="FirstParagraph"/>
      </w:pPr>
      <w:r>
        <w:t xml:space="preserve">Componentes que exigem incluir aviso de copyright no produto distribuído.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Texto incluído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{{MIT}}</w:t>
            </w:r>
          </w:p>
        </w:tc>
        <w:tc>
          <w:tcPr/>
          <w:p>
            <w:pPr>
              <w:pStyle w:val="Compact"/>
            </w:pPr>
            <w:r>
              <w:t xml:space="preserve">{{ecrã</w:t>
            </w:r>
            <w:r>
              <w:t xml:space="preserve"> </w:t>
            </w:r>
            <w:r>
              <w:t xml:space="preserve">“Sobre”</w:t>
            </w:r>
            <w:r>
              <w:t xml:space="preserve"> </w:t>
            </w:r>
            <w:r>
              <w:t xml:space="preserve">/ ficheiro</w:t>
            </w:r>
            <w:r>
              <w:t xml:space="preserve"> </w:t>
            </w:r>
            <w:r>
              <w:rPr>
                <w:rStyle w:val="VerbatimChar"/>
              </w:rPr>
              <w:t xml:space="preserve">TERCEIROS.txt</w:t>
            </w:r>
            <w:r>
              <w:t xml:space="preserve">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vulnerabilidades-conhecidas"/>
    <w:p>
      <w:pPr>
        <w:pStyle w:val="Heading2"/>
      </w:pPr>
      <w:r>
        <w:t xml:space="preserve">6. Vulnerabilidades conhecidas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Onde corre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{{Dependabot / pip-audit / npm audit}}</w:t>
            </w:r>
          </w:p>
        </w:tc>
        <w:tc>
          <w:tcPr/>
          <w:p>
            <w:pPr>
              <w:pStyle w:val="Compact"/>
            </w:pPr>
            <w:r>
              <w:t xml:space="preserve">{{CI}}</w:t>
            </w:r>
          </w:p>
        </w:tc>
        <w:tc>
          <w:tcPr/>
          <w:p>
            <w:pPr>
              <w:pStyle w:val="Compact"/>
            </w:pPr>
            <w:r>
              <w:t xml:space="preserve">{{Cada PR + semanal}}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{{Alta}}</w:t>
            </w:r>
          </w:p>
        </w:tc>
        <w:tc>
          <w:tcPr/>
          <w:p>
            <w:pPr>
              <w:pStyle w:val="Compact"/>
            </w:pPr>
            <w:r>
              <w:t xml:space="preserve">{{Em correção}}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Prazos de correção:</w:t>
      </w:r>
      <w:r>
        <w:t xml:space="preserve"> </w:t>
      </w:r>
      <w:r>
        <w:t xml:space="preserve">crítica {{7 dias}} · alta {{30 dias}} · média {{90 dias}}.</w:t>
      </w:r>
    </w:p>
    <w:p>
      <w:r>
        <w:pict>
          <v:rect style="width:0;height:1.5pt" o:hralign="center" o:hrstd="t" o:hr="t"/>
        </w:pict>
      </w:r>
    </w:p>
    <w:bookmarkEnd w:id="54"/>
    <w:bookmarkStart w:id="55" w:name="componentes-com-risco-de-abandono"/>
    <w:p>
      <w:pPr>
        <w:pStyle w:val="Heading2"/>
      </w:pPr>
      <w:r>
        <w:t xml:space="preserve">7. Componentes com risco de abandono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Último lançamento</w:t>
            </w:r>
          </w:p>
        </w:tc>
        <w:tc>
          <w:tcPr/>
          <w:p>
            <w:pPr>
              <w:pStyle w:val="Compact"/>
            </w:pPr>
            <w:r>
              <w:t xml:space="preserve">Manutenção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Alternativa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{{há 3 anos}}</w:t>
            </w:r>
          </w:p>
        </w:tc>
        <w:tc>
          <w:tcPr/>
          <w:p>
            <w:pPr>
              <w:pStyle w:val="Compact"/>
            </w:pPr>
            <w:r>
              <w:t xml:space="preserve">{{1 pessoa}}</w:t>
            </w:r>
          </w:p>
        </w:tc>
        <w:tc>
          <w:tcPr/>
          <w:p>
            <w:pPr>
              <w:pStyle w:val="Compact"/>
            </w:pPr>
            <w:r>
              <w:t xml:space="preserve">{{Alto}}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X52bd58150467f4061f1a7b31e28b5d007f31ebd"/>
    <w:p>
      <w:pPr>
        <w:pStyle w:val="Heading2"/>
      </w:pPr>
      <w:r>
        <w:t xml:space="preserve">8. Processo para acrescentar uma dependência</w:t>
      </w:r>
    </w:p>
    <w:p>
      <w:pPr>
        <w:pStyle w:val="Compact"/>
        <w:numPr>
          <w:ilvl w:val="0"/>
          <w:numId w:val="1001"/>
        </w:numPr>
      </w:pPr>
      <w:r>
        <w:t xml:space="preserve">Existe já algo no projeto que resolve isto?</w:t>
      </w:r>
    </w:p>
    <w:p>
      <w:pPr>
        <w:pStyle w:val="Compact"/>
        <w:numPr>
          <w:ilvl w:val="0"/>
          <w:numId w:val="1002"/>
        </w:numPr>
      </w:pPr>
      <w:r>
        <w:t xml:space="preserve">Licença verificada e na lista de permitidas</w:t>
      </w:r>
    </w:p>
    <w:p>
      <w:pPr>
        <w:pStyle w:val="Compact"/>
        <w:numPr>
          <w:ilvl w:val="0"/>
          <w:numId w:val="1003"/>
        </w:numPr>
      </w:pPr>
      <w:r>
        <w:t xml:space="preserve">Manutenção ativa ({{lançamento nos últimos 12 meses}})</w:t>
      </w:r>
    </w:p>
    <w:p>
      <w:pPr>
        <w:pStyle w:val="Compact"/>
        <w:numPr>
          <w:ilvl w:val="0"/>
          <w:numId w:val="1004"/>
        </w:numPr>
      </w:pPr>
      <w:r>
        <w:t xml:space="preserve">Sem vulnerabilidades críticas abertas</w:t>
      </w:r>
    </w:p>
    <w:p>
      <w:pPr>
        <w:pStyle w:val="Compact"/>
        <w:numPr>
          <w:ilvl w:val="0"/>
          <w:numId w:val="1005"/>
        </w:numPr>
      </w:pPr>
      <w:r>
        <w:t xml:space="preserve">Dimensão e dependências transitivas aceitáveis</w:t>
      </w:r>
    </w:p>
    <w:p>
      <w:pPr>
        <w:pStyle w:val="Compact"/>
        <w:numPr>
          <w:ilvl w:val="0"/>
          <w:numId w:val="1006"/>
        </w:numPr>
      </w:pPr>
      <w:r>
        <w:t xml:space="preserve">Registada no inventário</w:t>
      </w:r>
    </w:p>
    <w:p>
      <w:pPr>
        <w:pStyle w:val="Compact"/>
        <w:numPr>
          <w:ilvl w:val="0"/>
          <w:numId w:val="1007"/>
        </w:numPr>
      </w:pPr>
      <w:r>
        <w:t xml:space="preserve">Se copyleft forte: aprovada por {{…}}</w:t>
      </w:r>
    </w:p>
    <w:bookmarkEnd w:id="56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Licenças e Componentes de Terceiros — {{PROJETO}}</dc:title>
  <dc:creator/>
  <dc:language>pt-PT</dc:language>
  <cp:keywords/>
  <dcterms:created xsi:type="dcterms:W3CDTF">2026-08-24T10:58:42Z</dcterms:created>
  <dcterms:modified xsi:type="dcterms:W3CDTF">2026-08-24T10:58:42Z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