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Contratação e Fornecedores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60" w:name="caderno-de-encargos-estrutura"/>
    <w:p>
      <w:pPr>
        <w:pStyle w:val="Heading2"/>
      </w:pPr>
      <w:r>
        <w:t xml:space="preserve">1. Caderno de encargos — estrutura</w:t>
      </w:r>
    </w:p>
    <w:p>
      <w:pPr>
        <w:pStyle w:val="BlockText"/>
      </w:pPr>
      <w:r>
        <w:t xml:space="preserve">Usar quando se contrata desenvolvimento, integração ou serviço a terceiros.</w:t>
      </w:r>
    </w:p>
    <w:bookmarkStart w:id="49" w:name="contexto-e-objetivo"/>
    <w:p>
      <w:pPr>
        <w:pStyle w:val="Heading3"/>
      </w:pPr>
      <w:r>
        <w:t xml:space="preserve">1.1 Contexto e objetivo</w:t>
      </w:r>
    </w:p>
    <w:p>
      <w:pPr>
        <w:pStyle w:val="FirstParagraph"/>
      </w:pPr>
      <w:r>
        <w:t xml:space="preserve">{{O problema de negócio. O que existe hoje. O que tem de existir no fim.}}</w:t>
      </w:r>
    </w:p>
    <w:bookmarkEnd w:id="49"/>
    <w:bookmarkStart w:id="50" w:name="âmbito"/>
    <w:p>
      <w:pPr>
        <w:pStyle w:val="Heading3"/>
      </w:pPr>
      <w:r>
        <w:t xml:space="preserve">1.2 Âmbito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Dentro</w:t>
            </w:r>
          </w:p>
        </w:tc>
        <w:tc>
          <w:tcPr/>
          <w:p>
            <w:pPr>
              <w:pStyle w:val="Compact"/>
            </w:pPr>
            <w:r>
              <w:t xml:space="preserve">Fora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0"/>
    <w:bookmarkStart w:id="53" w:name="requisitos"/>
    <w:p>
      <w:pPr>
        <w:pStyle w:val="Heading3"/>
      </w:pPr>
      <w:r>
        <w:t xml:space="preserve">1.3 Requisitos</w:t>
      </w:r>
    </w:p>
    <w:p>
      <w:pPr>
        <w:pStyle w:val="FirstParagraph"/>
      </w:pPr>
      <w:r>
        <w:t xml:space="preserve">Referenciar, não repetir:</w:t>
      </w:r>
      <w:r>
        <w:t xml:space="preserve"> </w:t>
      </w:r>
      <w:hyperlink r:id="rId51">
        <w:r>
          <w:rPr>
            <w:rStyle w:val="Hyperlink"/>
          </w:rPr>
          <w:t xml:space="preserve">Requisitos Funcionais</w:t>
        </w:r>
      </w:hyperlink>
      <w:r>
        <w:t xml:space="preserve"> </w:t>
      </w:r>
      <w:r>
        <w:t xml:space="preserve">e</w:t>
      </w:r>
      <w:r>
        <w:t xml:space="preserve"> </w:t>
      </w:r>
      <w:hyperlink r:id="rId52">
        <w:r>
          <w:rPr>
            <w:rStyle w:val="Hyperlink"/>
          </w:rPr>
          <w:t xml:space="preserve">Não Funcionais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Obrigatório / Desejável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bookmarkEnd w:id="53"/>
    <w:bookmarkStart w:id="54" w:name="restrições-impostas"/>
    <w:p>
      <w:pPr>
        <w:pStyle w:val="Heading3"/>
      </w:pPr>
      <w:r>
        <w:t xml:space="preserve">1.4 Restrições impostas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{{Corre na infraestrutura interna}}</w:t>
            </w:r>
          </w:p>
        </w:tc>
        <w:tc>
          <w:tcPr/>
          <w:p>
            <w:pPr>
              <w:pStyle w:val="Compact"/>
            </w:pPr>
            <w:r>
              <w:t xml:space="preserve">{{Política de 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{{Base de dados PostgreSQL já existente}}</w:t>
            </w:r>
          </w:p>
        </w:tc>
        <w:tc>
          <w:tcPr/>
          <w:p>
            <w:pPr>
              <w:pStyle w:val="Compact"/>
            </w:pPr>
            <w:r>
              <w:t xml:space="preserve">{{Partilhada com outros sistemas}}</w:t>
            </w:r>
          </w:p>
        </w:tc>
      </w:tr>
    </w:tbl>
    <w:bookmarkEnd w:id="54"/>
    <w:bookmarkStart w:id="55" w:name="entregas-exigidas"/>
    <w:p>
      <w:pPr>
        <w:pStyle w:val="Heading3"/>
      </w:pPr>
      <w:r>
        <w:t xml:space="preserve">1.5 Entregas exigidas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Código-fonte</w:t>
            </w:r>
          </w:p>
        </w:tc>
        <w:tc>
          <w:tcPr/>
          <w:p>
            <w:pPr>
              <w:pStyle w:val="Compact"/>
            </w:pPr>
            <w:r>
              <w:t xml:space="preserve">{{Repositório}}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Documentação de arquitetura</w:t>
            </w:r>
          </w:p>
        </w:tc>
        <w:tc>
          <w:tcPr/>
          <w:p>
            <w:pPr>
              <w:pStyle w:val="Compact"/>
            </w:pPr>
            <w:r>
              <w:t xml:space="preserve">{{Markdown}}</w:t>
            </w:r>
          </w:p>
        </w:tc>
        <w:tc>
          <w:tcPr/>
          <w:p>
            <w:pPr>
              <w:pStyle w:val="Compact"/>
            </w:pPr>
            <w:r>
              <w:t xml:space="preserve">{{Com cada versão}}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</w:pPr>
            <w:r>
              <w:t xml:space="preserve">{{Executáveis pelo cliente}}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Manual de operação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{{Antes da entrada em serviço}}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{{N sessões}}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entrega 3 é a mais esquecida e a mais cara de omitir.</w:t>
      </w:r>
      <w:r>
        <w:t xml:space="preserve"> </w:t>
      </w:r>
      <w:r>
        <w:t xml:space="preserve">Sem testes que o</w:t>
      </w:r>
      <w:r>
        <w:t xml:space="preserve"> </w:t>
      </w:r>
      <w:r>
        <w:t xml:space="preserve">cliente possa correr, não há forma de verificar uma correção futura.</w:t>
      </w:r>
    </w:p>
    <w:bookmarkEnd w:id="55"/>
    <w:bookmarkStart w:id="57" w:name="propriedade-e-acesso"/>
    <w:p>
      <w:pPr>
        <w:pStyle w:val="Heading3"/>
      </w:pPr>
      <w:r>
        <w:t xml:space="preserve">1.6 Propriedade e acesso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Fica 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Código-fonte</w:t>
            </w:r>
          </w:p>
        </w:tc>
        <w:tc>
          <w:tcPr/>
          <w:p>
            <w:pPr>
              <w:pStyle w:val="Compact"/>
            </w:pPr>
            <w:r>
              <w:t xml:space="preserve">{{Cliente}}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Direitos de uso e alteração</w:t>
            </w:r>
          </w:p>
        </w:tc>
        <w:tc>
          <w:tcPr/>
          <w:p>
            <w:pPr>
              <w:pStyle w:val="Compact"/>
            </w:pPr>
            <w:r>
              <w:t xml:space="preserve">{{Cliente}}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Cliente, 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ao repositório durante o contrato</w:t>
            </w:r>
          </w:p>
        </w:tc>
        <w:tc>
          <w:tcPr/>
          <w:p>
            <w:pPr>
              <w:pStyle w:val="Compact"/>
            </w:pPr>
            <w:r>
              <w:t xml:space="preserve">{{Ambos}}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terceiros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Licenças</w:t>
              </w:r>
            </w:hyperlink>
          </w:p>
        </w:tc>
      </w:tr>
    </w:tbl>
    <w:bookmarkEnd w:id="57"/>
    <w:bookmarkStart w:id="58" w:name="critérios-de-avaliação-de-propostas"/>
    <w:p>
      <w:pPr>
        <w:pStyle w:val="Heading3"/>
      </w:pPr>
      <w:r>
        <w:t xml:space="preserve">1.7 Critérios de avaliação de propostas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{{Adequação técnica}}</w:t>
            </w:r>
          </w:p>
        </w:tc>
        <w:tc>
          <w:tcPr/>
          <w:p>
            <w:pPr>
              <w:pStyle w:val="Compact"/>
            </w:pPr>
            <w:r>
              <w:t xml:space="preserve">{{40%}}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{{Experiência comprovada em contexto semelhante}}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{{Preço}}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{{Prazo}}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</w:tr>
    </w:tbl>
    <w:bookmarkEnd w:id="58"/>
    <w:bookmarkStart w:id="59" w:name="aceitação-e-pagamento"/>
    <w:p>
      <w:pPr>
        <w:pStyle w:val="Heading3"/>
      </w:pPr>
      <w:r>
        <w:t xml:space="preserve">1.8 Aceitação e pagamento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% do valor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{{verificável, não subjetivo}}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registo-de-fornecedores"/>
    <w:p>
      <w:pPr>
        <w:pStyle w:val="Heading2"/>
      </w:pPr>
      <w:r>
        <w:t xml:space="preserve">2. Registo de fornecedores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Contrato até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{{Envio de e-mail}}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Criticidade alta</w:t>
      </w:r>
      <w:r>
        <w:t xml:space="preserve"> </w:t>
      </w:r>
      <w:r>
        <w:t xml:space="preserve">= o serviço para se este fornecedor parar.</w:t>
      </w:r>
    </w:p>
    <w:p>
      <w:r>
        <w:pict>
          <v:rect style="width:0;height:1.5pt" o:hralign="center" o:hrstd="t" o:hr="t"/>
        </w:pict>
      </w:r>
    </w:p>
    <w:bookmarkEnd w:id="61"/>
    <w:bookmarkStart w:id="62" w:name="avaliação-de-risco-por-fornecedor"/>
    <w:p>
      <w:pPr>
        <w:pStyle w:val="Heading2"/>
      </w:pPr>
      <w:r>
        <w:t xml:space="preserve">3. Avaliação de risco por fornecedor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{{Fornecedor 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ficam os dados (país)?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 subcontratante RGPD? Há contrato assinado?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SLA oferece?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acontece se encerrar?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dados podem ser exportados? Em que formato?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Quanto custa sair?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dependência-e-saída"/>
    <w:p>
      <w:pPr>
        <w:pStyle w:val="Heading2"/>
      </w:pPr>
      <w:r>
        <w:t xml:space="preserve">4. Dependência e saída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Nível de dependência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Esforço para mudar</w:t>
            </w:r>
          </w:p>
        </w:tc>
        <w:tc>
          <w:tcPr/>
          <w:p>
            <w:pPr>
              <w:pStyle w:val="Compact"/>
            </w:pPr>
            <w:r>
              <w:t xml:space="preserve">Plano de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A pergunta a fazer antes de assinar, não depois:</w:t>
      </w:r>
      <w:r>
        <w:t xml:space="preserve"> </w:t>
      </w:r>
      <w:r>
        <w:rPr>
          <w:b/>
          <w:bCs/>
        </w:rPr>
        <w:t xml:space="preserve">como é que saio daqui?</w:t>
      </w:r>
      <w:r>
        <w:t xml:space="preserve"> </w:t>
      </w:r>
      <w:r>
        <w:t xml:space="preserve">Se a resposta for</w:t>
      </w:r>
      <w:r>
        <w:t xml:space="preserve"> </w:t>
      </w:r>
      <w:r>
        <w:t xml:space="preserve">“não sei”</w:t>
      </w:r>
      <w:r>
        <w:t xml:space="preserve">, o preço da entrada não é o preço real.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../01-requisitos/02-requisitos-funcionais.md" TargetMode="External" /><Relationship Type="http://schemas.openxmlformats.org/officeDocument/2006/relationships/hyperlink" Id="rId52" Target="../01-requisitos/03-requisitos-nao-funcionais.md" TargetMode="External" /><Relationship Type="http://schemas.openxmlformats.org/officeDocument/2006/relationships/hyperlink" Id="rId56" Target="04-licencas-e-terceir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1-requisitos/02-requisitos-funcionais.md" TargetMode="External" /><Relationship Type="http://schemas.openxmlformats.org/officeDocument/2006/relationships/hyperlink" Id="rId52" Target="../01-requisitos/03-requisitos-nao-funcionais.md" TargetMode="External" /><Relationship Type="http://schemas.openxmlformats.org/officeDocument/2006/relationships/hyperlink" Id="rId56" Target="04-licencas-e-terceir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Contratação e Fornecedores — {{PROJETO}}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