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Formação e Adesão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o-problema-que-este-plano-resolve"/>
    <w:p>
      <w:pPr>
        <w:pStyle w:val="Heading2"/>
      </w:pPr>
      <w:r>
        <w:t xml:space="preserve">1. O problema que este plano resolve</w:t>
      </w:r>
    </w:p>
    <w:p>
      <w:pPr>
        <w:pStyle w:val="FirstParagraph"/>
      </w:pPr>
      <w:r>
        <w:t xml:space="preserve">Um sistema que ninguém usa falhou, por melhor que esteja construído. A adesão</w:t>
      </w:r>
      <w:r>
        <w:t xml:space="preserve"> </w:t>
      </w:r>
      <w:r>
        <w:t xml:space="preserve">não acontece por decreto e raramente por qualidade técnica: acontece quando</w:t>
      </w:r>
      <w:r>
        <w:t xml:space="preserve"> </w:t>
      </w:r>
      <w:r>
        <w:t xml:space="preserve">quem usa percebe o que ganha, sabe fazê-lo, e tem a quem perguntar.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{{X% dos utilizadores a usar em autonomia N semanas após o arranque}}.</w:t>
      </w:r>
    </w:p>
    <w:p>
      <w:r>
        <w:pict>
          <v:rect style="width:0;height:1.5pt" o:hralign="center" o:hrstd="t" o:hr="t"/>
        </w:pict>
      </w:r>
    </w:p>
    <w:bookmarkEnd w:id="49"/>
    <w:bookmarkStart w:id="50" w:name="quem-vai-usar-e-o-que-muda-para-cada-um"/>
    <w:p>
      <w:pPr>
        <w:pStyle w:val="Heading2"/>
      </w:pPr>
      <w:r>
        <w:t xml:space="preserve">2. Quem vai usar, e o que muda para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Nº</w:t>
            </w:r>
          </w:p>
        </w:tc>
        <w:tc>
          <w:tcPr/>
          <w:p>
            <w:pPr>
              <w:pStyle w:val="Compact"/>
            </w:pPr>
            <w:r>
              <w:t xml:space="preserve">O que faz hoje</w:t>
            </w:r>
          </w:p>
        </w:tc>
        <w:tc>
          <w:tcPr/>
          <w:p>
            <w:pPr>
              <w:pStyle w:val="Compact"/>
            </w:pPr>
            <w:r>
              <w:t xml:space="preserve">O que passa a fazer</w:t>
            </w:r>
          </w:p>
        </w:tc>
        <w:tc>
          <w:tcPr/>
          <w:p>
            <w:pPr>
              <w:pStyle w:val="Compact"/>
            </w:pPr>
            <w:r>
              <w:t xml:space="preserve">Ganha</w:t>
            </w:r>
          </w:p>
        </w:tc>
        <w:tc>
          <w:tcPr/>
          <w:p>
            <w:pPr>
              <w:pStyle w:val="Compact"/>
            </w:pPr>
            <w:r>
              <w:t xml:space="preserve">Perde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{{45}}</w:t>
            </w:r>
          </w:p>
        </w:tc>
        <w:tc>
          <w:tcPr/>
          <w:p>
            <w:pPr>
              <w:pStyle w:val="Compact"/>
            </w:pPr>
            <w:r>
              <w:t xml:space="preserve">{{Papel entregue ao escritório}}</w:t>
            </w:r>
          </w:p>
        </w:tc>
        <w:tc>
          <w:tcPr/>
          <w:p>
            <w:pPr>
              <w:pStyle w:val="Compact"/>
            </w:pPr>
            <w:r>
              <w:t xml:space="preserve">{{Regista no telemóvel}}</w:t>
            </w:r>
          </w:p>
        </w:tc>
        <w:tc>
          <w:tcPr/>
          <w:p>
            <w:pPr>
              <w:pStyle w:val="Compact"/>
            </w:pPr>
            <w:r>
              <w:t xml:space="preserve">{{Não tem de passar no escritório}}</w:t>
            </w:r>
          </w:p>
        </w:tc>
        <w:tc>
          <w:tcPr/>
          <w:p>
            <w:pPr>
              <w:pStyle w:val="Compact"/>
            </w:pPr>
            <w:r>
              <w:t xml:space="preserve">{{Tem de usar o telemóvel}}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{{Gestores}}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{{Folhas de cálculo}}</w:t>
            </w:r>
          </w:p>
        </w:tc>
        <w:tc>
          <w:tcPr/>
          <w:p>
            <w:pPr>
              <w:pStyle w:val="Compact"/>
            </w:pPr>
            <w:r>
              <w:t xml:space="preserve">{{Aplicação}}</w:t>
            </w:r>
          </w:p>
        </w:tc>
        <w:tc>
          <w:tcPr/>
          <w:p>
            <w:pPr>
              <w:pStyle w:val="Compact"/>
            </w:pPr>
            <w:r>
              <w:t xml:space="preserve">{{Relatórios automáticos}}</w:t>
            </w:r>
          </w:p>
        </w:tc>
        <w:tc>
          <w:tcPr/>
          <w:p>
            <w:pPr>
              <w:pStyle w:val="Compact"/>
            </w:pPr>
            <w:r>
              <w:t xml:space="preserve">{{Perde o Excel que dominava}}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coluna</w:t>
      </w:r>
      <w:r>
        <w:rPr>
          <w:b/>
          <w:bCs/>
        </w:rPr>
        <w:t xml:space="preserve"> </w:t>
      </w:r>
      <w:r>
        <w:rPr>
          <w:b/>
          <w:bCs/>
        </w:rPr>
        <w:t xml:space="preserve">“perde”</w:t>
      </w:r>
      <w:r>
        <w:rPr>
          <w:b/>
          <w:bCs/>
        </w:rPr>
        <w:t xml:space="preserve"> </w:t>
      </w:r>
      <w:r>
        <w:rPr>
          <w:b/>
          <w:bCs/>
        </w:rPr>
        <w:t xml:space="preserve">é a mais importante do plano.</w:t>
      </w:r>
      <w:r>
        <w:t xml:space="preserve"> </w:t>
      </w:r>
      <w:r>
        <w:t xml:space="preserve">Toda a mudança tira alguma</w:t>
      </w:r>
      <w:r>
        <w:t xml:space="preserve"> </w:t>
      </w:r>
      <w:r>
        <w:t xml:space="preserve">coisa a alguém. Nomear isso é o que permite responder-lhe; ignorá-lo é o que</w:t>
      </w:r>
      <w:r>
        <w:t xml:space="preserve"> </w:t>
      </w:r>
      <w:r>
        <w:t xml:space="preserve">gera a resistência que depois se chama</w:t>
      </w:r>
      <w:r>
        <w:t xml:space="preserve"> </w:t>
      </w:r>
      <w:r>
        <w:t xml:space="preserve">“falta de formação”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resistências-previstas"/>
    <w:p>
      <w:pPr>
        <w:pStyle w:val="Heading2"/>
      </w:pPr>
      <w:r>
        <w:t xml:space="preserve">3. Resistências previstas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Resistência</w:t>
            </w:r>
          </w:p>
        </w:tc>
        <w:tc>
          <w:tcPr/>
          <w:p>
            <w:pPr>
              <w:pStyle w:val="Compact"/>
            </w:pPr>
            <w:r>
              <w:t xml:space="preserve">De quem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“Isto é para nos controlarem”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{{Dizer o que é medido e o que não é. Ser específico e verificável}}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papel funcionava”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{{Mostrar o que não funcionava — com números do próprio serviço}}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tenho jeito para tecnologia”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{{Formação em pequenos grupos; padrinho na 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“Vou perder o meu papel”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{{Quem geria a folha de cálculo}}</w:t>
            </w:r>
          </w:p>
        </w:tc>
        <w:tc>
          <w:tcPr/>
          <w:p>
            <w:pPr>
              <w:pStyle w:val="Compact"/>
            </w:pPr>
            <w:r>
              <w:t xml:space="preserve">{{Envolver como formador — de guardião a especialista}}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formação"/>
    <w:p>
      <w:pPr>
        <w:pStyle w:val="Heading2"/>
      </w:pPr>
      <w:r>
        <w:t xml:space="preserve">4. Formação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{{O que muda e porquê}}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{{Presencial, grupos de 15}}</w:t>
            </w:r>
          </w:p>
        </w:tc>
        <w:tc>
          <w:tcPr/>
          <w:p>
            <w:pPr>
              <w:pStyle w:val="Compact"/>
            </w:pPr>
            <w:r>
              <w:t xml:space="preserve">{{−2 semanas}}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{{Usar no dia a dia}}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{{Prática, com o próprio telemóvel}}</w:t>
            </w:r>
          </w:p>
        </w:tc>
        <w:tc>
          <w:tcPr/>
          <w:p>
            <w:pPr>
              <w:pStyle w:val="Compact"/>
            </w:pPr>
            <w:r>
              <w:t xml:space="preserve">{{−1 semana}}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{{Gestão e relatórios}}</w:t>
            </w:r>
          </w:p>
        </w:tc>
        <w:tc>
          <w:tcPr/>
          <w:p>
            <w:pPr>
              <w:pStyle w:val="Compact"/>
            </w:pPr>
            <w:r>
              <w:t xml:space="preserve">{{Gestores}}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{{Prática}}</w:t>
            </w:r>
          </w:p>
        </w:tc>
        <w:tc>
          <w:tcPr/>
          <w:p>
            <w:pPr>
              <w:pStyle w:val="Compact"/>
            </w:pPr>
            <w:r>
              <w:t xml:space="preserve">{{−1 semana}}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{{Administração}}</w:t>
            </w:r>
          </w:p>
        </w:tc>
        <w:tc>
          <w:tcPr/>
          <w:p>
            <w:pPr>
              <w:pStyle w:val="Compact"/>
            </w:pPr>
            <w:r>
              <w:t xml:space="preserve">{{Administradores}}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{{Prática}}</w:t>
            </w:r>
          </w:p>
        </w:tc>
        <w:tc>
          <w:tcPr/>
          <w:p>
            <w:pPr>
              <w:pStyle w:val="Compact"/>
            </w:pPr>
            <w:r>
              <w:t xml:space="preserve">{{−2 semanas}}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{{Sessão de dúvidas}}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{{Aberta}}</w:t>
            </w:r>
          </w:p>
        </w:tc>
        <w:tc>
          <w:tcPr/>
          <w:p>
            <w:pPr>
              <w:pStyle w:val="Compact"/>
            </w:pPr>
            <w:r>
              <w:t xml:space="preserve">{{+1 e +3 semanas}}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que decidem se a formação resulta: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o aparelho de cada um, não com o do formador</w:t>
            </w:r>
          </w:p>
        </w:tc>
        <w:tc>
          <w:tcPr/>
          <w:p>
            <w:pPr>
              <w:pStyle w:val="Compact"/>
            </w:pPr>
            <w:r>
              <w:t xml:space="preserve">Uma demonstração vê-se; a aplicação aprende-se a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dados que reconheçam</w:t>
            </w:r>
          </w:p>
        </w:tc>
        <w:tc>
          <w:tcPr/>
          <w:p>
            <w:pPr>
              <w:pStyle w:val="Compact"/>
            </w:pPr>
            <w:r>
              <w:t xml:space="preserve">As viaturas deles, não</w:t>
            </w:r>
            <w:r>
              <w:t xml:space="preserve"> </w:t>
            </w:r>
            <w:r>
              <w:t xml:space="preserve">“Viatura Teste 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 pequenos</w:t>
            </w:r>
          </w:p>
        </w:tc>
        <w:tc>
          <w:tcPr/>
          <w:p>
            <w:pPr>
              <w:pStyle w:val="Compact"/>
            </w:pPr>
            <w:r>
              <w:t xml:space="preserve">Ninguém faz perguntas em frente a 40 pessoas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sessão F5 é a que mais vale</w:t>
            </w:r>
          </w:p>
        </w:tc>
        <w:tc>
          <w:tcPr/>
          <w:p>
            <w:pPr>
              <w:pStyle w:val="Compact"/>
            </w:pPr>
            <w:r>
              <w:t xml:space="preserve">As dúvidas reais só aparecem depois de usar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materiais"/>
    <w:p>
      <w:pPr>
        <w:pStyle w:val="Heading2"/>
      </w:pPr>
      <w:r>
        <w:t xml:space="preserve">5. Materiais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{{Guia rápido de 1 página}}</w:t>
            </w:r>
          </w:p>
        </w:tc>
        <w:tc>
          <w:tcPr/>
          <w:p>
            <w:pPr>
              <w:pStyle w:val="Compact"/>
            </w:pPr>
            <w:r>
              <w:t xml:space="preserve">{{A4, plastificado}}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{{Na viatura}}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{{Manual completo}}</w:t>
            </w:r>
          </w:p>
        </w:tc>
        <w:tc>
          <w:tcPr/>
          <w:p>
            <w:pPr>
              <w:pStyle w:val="Compact"/>
            </w:pPr>
            <w:r>
              <w:t xml:space="preserve">{{Digital}}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53">
              <w:r>
                <w:rPr>
                  <w:rStyle w:val="Hyperlink"/>
                </w:rPr>
                <w:t xml:space="preserve">Manual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{{Vídeo de 3 minutos}}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{{FAQ}}</w:t>
            </w:r>
          </w:p>
        </w:tc>
        <w:tc>
          <w:tcPr/>
          <w:p>
            <w:pPr>
              <w:pStyle w:val="Compact"/>
            </w:pPr>
            <w:r>
              <w:t xml:space="preserve">{{Digital}}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54">
              <w:r>
                <w:rPr>
                  <w:rStyle w:val="Hyperlink"/>
                </w:rPr>
                <w:t xml:space="preserve">FAQ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guia de uma página é o material mais usado e o menos investido.</w:t>
      </w:r>
      <w:r>
        <w:t xml:space="preserve"> </w:t>
      </w:r>
      <w:r>
        <w:t xml:space="preserve">Se só</w:t>
      </w:r>
      <w:r>
        <w:t xml:space="preserve"> </w:t>
      </w:r>
      <w:r>
        <w:t xml:space="preserve">houver tempo para um, é esse.</w:t>
      </w:r>
    </w:p>
    <w:p>
      <w:r>
        <w:pict>
          <v:rect style="width:0;height:1.5pt" o:hralign="center" o:hrstd="t" o:hr="t"/>
        </w:pict>
      </w:r>
    </w:p>
    <w:bookmarkEnd w:id="55"/>
    <w:bookmarkStart w:id="59" w:name="adesão-faseada"/>
    <w:p>
      <w:pPr>
        <w:pStyle w:val="Heading2"/>
      </w:pPr>
      <w:r>
        <w:t xml:space="preserve">6. Adesão faseada</w:t>
      </w:r>
    </w:p>
    <w:p>
      <w:pPr>
        <w:pStyle w:val="FirstParagraph"/>
      </w:pPr>
      <w:r>
        <w:drawing>
          <wp:inline>
            <wp:extent cx="6191999" cy="229988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ou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29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Piloto primeiro.</w:t>
      </w:r>
      <w:r>
        <w:t xml:space="preserve"> </w:t>
      </w:r>
      <w:r>
        <w:t xml:space="preserve">{{5}} pessoas escolhidas por serem representativas — não</w:t>
      </w:r>
      <w:r>
        <w:t xml:space="preserve"> </w:t>
      </w:r>
      <w:r>
        <w:t xml:space="preserve">por serem as mais entusiastas. Um piloto com voluntários entusiastas não prevê</w:t>
      </w:r>
      <w:r>
        <w:t xml:space="preserve"> </w:t>
      </w:r>
      <w:r>
        <w:t xml:space="preserve">nada sobre os restantes.</w:t>
      </w:r>
    </w:p>
    <w:p>
      <w:r>
        <w:pict>
          <v:rect style="width:0;height:1.5pt" o:hralign="center" o:hrstd="t" o:hr="t"/>
        </w:pict>
      </w:r>
    </w:p>
    <w:bookmarkEnd w:id="59"/>
    <w:bookmarkStart w:id="60" w:name="apoio-no-arranque"/>
    <w:p>
      <w:pPr>
        <w:pStyle w:val="Heading2"/>
      </w:pPr>
      <w:r>
        <w:t xml:space="preserve">7. Apoio no arranque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Apoio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{{Semana 0}}</w:t>
            </w:r>
          </w:p>
        </w:tc>
        <w:tc>
          <w:tcPr/>
          <w:p>
            <w:pPr>
              <w:pStyle w:val="Compact"/>
            </w:pPr>
            <w:r>
              <w:t xml:space="preserve">{{Presença no terreno}}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{{Junto de quem usa}}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{{Semanas 1–2}}</w:t>
            </w:r>
          </w:p>
        </w:tc>
        <w:tc>
          <w:tcPr/>
          <w:p>
            <w:pPr>
              <w:pStyle w:val="Compact"/>
            </w:pPr>
            <w:r>
              <w:t xml:space="preserve">{{Contacto direto}}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 partir da 3}}</w:t>
            </w:r>
          </w:p>
        </w:tc>
        <w:tc>
          <w:tcPr/>
          <w:p>
            <w:pPr>
              <w:pStyle w:val="Compact"/>
            </w:pPr>
            <w:r>
              <w:t xml:space="preserve">{{Suporte normal}}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Padrinhos:</w:t>
      </w:r>
      <w:r>
        <w:t xml:space="preserve"> </w:t>
      </w:r>
      <w:r>
        <w:t xml:space="preserve">{{1 por equipa}} — pessoas formadas mais cedo, que respondem às</w:t>
      </w:r>
      <w:r>
        <w:t xml:space="preserve"> </w:t>
      </w:r>
      <w:r>
        <w:t xml:space="preserve">dúvidas do lado. Perguntar ao colega é sempre mais fácil do que abrir um ticket.</w:t>
      </w:r>
    </w:p>
    <w:p>
      <w:r>
        <w:pict>
          <v:rect style="width:0;height:1.5pt" o:hralign="center" o:hrstd="t" o:hr="t"/>
        </w:pict>
      </w:r>
    </w:p>
    <w:bookmarkEnd w:id="60"/>
    <w:bookmarkStart w:id="61" w:name="medir-a-adesão"/>
    <w:p>
      <w:pPr>
        <w:pStyle w:val="Heading2"/>
      </w:pPr>
      <w:r>
        <w:t xml:space="preserve">8. Medir a adesão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Semana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{{% de utilizadores que entraram pelo menos uma vez}}</w:t>
            </w:r>
          </w:p>
        </w:tc>
        <w:tc>
          <w:tcPr/>
          <w:p>
            <w:pPr>
              <w:pStyle w:val="Compact"/>
            </w:pPr>
            <w:r>
              <w:t xml:space="preserve">{{95%}}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{{% de registos feitos na aplicação vs papel}}</w:t>
            </w:r>
          </w:p>
        </w:tc>
        <w:tc>
          <w:tcPr/>
          <w:p>
            <w:pPr>
              <w:pStyle w:val="Compact"/>
            </w:pPr>
            <w:r>
              <w:t xml:space="preserve">{{90%}}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{{Nº de pedidos de suporte por semana}}</w:t>
            </w:r>
          </w:p>
        </w:tc>
        <w:tc>
          <w:tcPr/>
          <w:p>
            <w:pPr>
              <w:pStyle w:val="Compact"/>
            </w:pPr>
            <w:r>
              <w:t xml:space="preserve">{{decrescente}}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{{Satisfação (1–5)}}</w:t>
            </w:r>
          </w:p>
        </w:tc>
        <w:tc>
          <w:tcPr/>
          <w:p>
            <w:pPr>
              <w:pStyle w:val="Compact"/>
            </w:pPr>
            <w:r>
              <w:t xml:space="preserve">{{≥ 4}}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Sinal de alarme:</w:t>
      </w:r>
      <w:r>
        <w:t xml:space="preserve"> </w:t>
      </w:r>
      <w:r>
        <w:t xml:space="preserve">utilizadores que entraram uma vez e não voltaram. São o</w:t>
      </w:r>
      <w:r>
        <w:t xml:space="preserve"> </w:t>
      </w:r>
      <w:r>
        <w:t xml:space="preserve">grupo que a formação não alcançou, e não aparecem nas queixas — desistem em</w:t>
      </w:r>
      <w:r>
        <w:t xml:space="preserve"> </w:t>
      </w:r>
      <w:r>
        <w:t xml:space="preserve">silêncio. Vale a pena contactá-los um a um.</w:t>
      </w:r>
    </w:p>
    <w:p>
      <w:r>
        <w:pict>
          <v:rect style="width:0;height:1.5pt" o:hralign="center" o:hrstd="t" o:hr="t"/>
        </w:pict>
      </w:r>
    </w:p>
    <w:bookmarkEnd w:id="61"/>
    <w:bookmarkStart w:id="62" w:name="desligar-o-processo-antigo"/>
    <w:p>
      <w:pPr>
        <w:pStyle w:val="Heading2"/>
      </w:pPr>
      <w:r>
        <w:t xml:space="preserve">9. Desligar o processo antigo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Verificada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{{≥ 90% dos registos já vêm da aplicação}}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 defeitos de gravidade 1 ou 2 há 2 semanas}}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{{Utilizadores formados, incluindo quem esteve ausente}}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históricos migrados e verificados}}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Manter os dois em paralelo indefinidamente garante que ninguém adere ao novo.</w:t>
      </w:r>
      <w:r>
        <w:t xml:space="preserve"> </w:t>
      </w:r>
      <w:r>
        <w:t xml:space="preserve">Desligar o antigo cedo demais garante que se volta a ele na primeira falha.</w:t>
      </w:r>
      <w:r>
        <w:t xml:space="preserve"> </w:t>
      </w:r>
      <w:r>
        <w:t xml:space="preserve">A data tem de ser decidida, comunicada e cumprida.</w:t>
      </w:r>
    </w:p>
    <w:bookmarkEnd w:id="6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6" Target="media/rId56.png" /><Relationship Type="http://schemas.openxmlformats.org/officeDocument/2006/relationships/hyperlink" Id="rId53" Target="02-manual-utilizador.md" TargetMode="External" /><Relationship Type="http://schemas.openxmlformats.org/officeDocument/2006/relationships/hyperlink" Id="rId54" Target="05-faq-resolucao-problem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02-manual-utilizador.md" TargetMode="External" /><Relationship Type="http://schemas.openxmlformats.org/officeDocument/2006/relationships/hyperlink" Id="rId54" Target="05-faq-resolucao-problem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Formação e Adesão — {{PROJETO}}</dc:title>
  <dc:creator/>
  <dc:language>pt-PT</dc:language>
  <cp:keywords/>
  <dcterms:created xsi:type="dcterms:W3CDTF">2026-08-24T10:58:43Z</dcterms:created>
  <dcterms:modified xsi:type="dcterms:W3CDTF">2026-08-24T10:58:43Z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