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de l'article L. 1121-1 du CSP</w:t>
        <w:br/>
        <w:t xml:space="preserve">portant sur un </w:t>
      </w:r>
      <w:r>
        <w:rPr>
          <w:rFonts w:ascii="Arial Narrow" w:hAnsi="Arial Narrow"/>
          <w:b/>
          <w:sz w:val="24"/>
          <w:u w:val="single"/>
        </w:rPr>
        <w:t>médicament à usage humain</w:t>
        <w:br/>
      </w:r>
    </w:p>
    <w:p>
      <w:pPr>
        <w:pStyle w:val="Avant_tableau"/>
        <w:jc w:val="lowKashida"/>
      </w:pPr>
      <w:r>
        <w:t>Préalablement au dépôt du dossier le promoteur obtient un numéro d’enregistrement de la recherche dans la base de données européenne des essais cliniques de médicaments à usage humain (EudraCT) et établie par l’Agence européenne des médicaments. Ce numéro EudraCT identifie chaque recherche conduite dans un ou plusieurs lieux de recherches situés sur le territoire de l’Union européenne.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La brochure pour l’investigateur</w:t>
              <w:br/>
              <w:t>ou le résumé des caractéristiques du produit pour tout ME disposant d’une AMM en France.</w:t>
              <w:br/>
              <w:t>ou dans un autre Etat membre de l’U.E accompagné, s’il est utilisé dans des conditions différentes de celles prévues par cette autorisation, de la synthèse des données justifiant l’utilisation et la sécurité d’emploi du médicament dans la recherche</w:t>
              <w:br/>
              <w:t>Si la brochure pour l’investigateur appartient à un tiers, l’autorisation du tiers délivrée au promoteur pour l’utiliser.</w:t>
            </w:r>
          </w:p>
        </w:tc>
      </w:tr>
      <w:tr>
        <w:tc>
          <w:tcPr>
            <w:tcW w:type="dxa" w:w="9972"/>
          </w:tcPr>
          <w:p>
            <w:r>
              <w:rPr>
                <w:rFonts w:ascii="Arial Narrow" w:hAnsi="Arial Narrow"/>
                <w:sz w:val="20"/>
              </w:rPr>
              <w:t>Le document d’information destiné aux personnes qui se prêtent à la recherche prévu à l’article L. 1122-1 du CSP.</w:t>
              <w:br/>
              <w:t>Si le ME dispose d’une AMM en France, le dossier comprend une comparaison et, le cas échéant, la description et la justification des divergences pertinentes en terme de sécurité des personnes entre le document d’information destiné aux personnes qui se prêtent à la recherche et la notice prévue à l’article R. 5121-148 du CSP, au regard des contre- indications et des effets indésirables graves ou des mises en garde ou précautions d’emploi particulières).</w:t>
            </w:r>
          </w:p>
        </w:tc>
      </w:tr>
      <w:tr>
        <w:tc>
          <w:tcPr>
            <w:tcW w:type="dxa" w:w="9972"/>
          </w:tcPr>
          <w:p>
            <w:r>
              <w:rPr>
                <w:rFonts w:ascii="Arial Narrow" w:hAnsi="Arial Narrow"/>
                <w:sz w:val="20"/>
              </w:rPr>
              <w:t>Le formulaire de recueil du consentement des personnes se prêtant à la recherche</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Le cas échéant, l’avis d’un comité scientifique consulté par le promoteur</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pStyle w:val="Debut_page2"/>
        <w:jc w:val="center"/>
      </w:pPr>
      <w:r>
        <w:t>ANNEXE 1</w:t>
      </w:r>
    </w:p>
    <w:p>
      <w:pPr>
        <w:pStyle w:val="Debut_page2"/>
        <w:jc w:val="lowKashida"/>
      </w:pPr>
      <w:r>
        <w:t>DOCUMENT ADDITIONNEL À LA DEMANDE D’AVIS AU COMITÉ DE PROTECTION DES PERSONNES SUR UN PROJET DE RECHERCHE MENTIONNÉE AU 1o de L’ARTICLE L. 1121-1 DU CODE DE LA SANTÉ PUBLIQUE PORTANT SUR UN MÉDICAMENT À USAGE HUMAIN EN FRANCE</w:t>
      </w:r>
    </w:p>
    <w:p>
      <w:pPr>
        <w:pStyle w:val="page2_italic"/>
      </w:pPr>
      <w:r>
        <w:br/>
        <w:t>Ce document doit être complété de façon claire, compréhensible et en français.</w:t>
        <w:br/>
      </w:r>
    </w:p>
    <w:p>
      <w:pPr>
        <w:pStyle w:val="page2_normal"/>
      </w:pPr>
      <w:r>
        <w:t>1. Numéro EudraCT :</w:t>
        <w:br/>
        <w:t>Protocole P1; Médicaments A2 ANSM + Q1 CPP</w:t>
      </w:r>
    </w:p>
    <w:p>
      <w:pPr>
        <w:pStyle w:val="page2_normal"/>
      </w:pPr>
      <w:r>
        <w:t>2. Titre complet de la recherche :</w:t>
        <w:br/>
        <w:t>Coucou</w:t>
      </w:r>
    </w:p>
    <w:p>
      <w:pPr>
        <w:pStyle w:val="page2_normal"/>
      </w:pPr>
      <w:r>
        <w:t>3. Justification et analyse critique de la pertinence de la recherche :</w:t>
        <w:br/>
      </w:r>
    </w:p>
    <w:p>
      <w:pPr>
        <w:pStyle w:val="page2_normal"/>
      </w:pPr>
      <w:r>
        <w:t>4. Hypothèse principale de la recherche et objectifs :</w:t>
        <w:br/>
        <w:t>Protocole résumé + 2.1; DM F6 ANSM; HPS G ANSM + G CPP; Médicaments E2.1 ANSM; PB E2.1 ANSM; Q4 CPP (tous)</w:t>
        <w:br/>
        <w:t>Protocole résumé + 2.2; DM F6 ANSM; HPS G ANSM + G CPP; Médicaments E2.2 ANSM; PB E2.2 ANSM; Q4 CPP (tous)</w:t>
      </w:r>
    </w:p>
    <w:p>
      <w:pPr>
        <w:pStyle w:val="page2_normal"/>
      </w:pPr>
      <w:r>
        <w:t>5. Evaluation des bénéfices et des risques que présentent la recherche, notamment les bénéfices escomptés pour les personnes qui se prêtent à la recherche et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 :</w:t>
        <w:br/>
        <w:t xml:space="preserve"> </w:t>
        <w:br/>
      </w:r>
    </w:p>
    <w:p>
      <w:pPr>
        <w:pStyle w:val="page2_normal"/>
      </w:pPr>
      <w:r>
        <w:t>6. Justifications de l’inclusion de personnes visées aux articles L. 1121-5 à L. 1121-8 et L. 1122-1-2 du code de la santé publique (ex. : mineurs, majeurs protégés, recherches mises en oeuvre dans des situations d’urgence) et procédure mise en oeuvre afin d’informer et de recueillir le consentement de ces personnes ou de leurs représentants légaux :</w:t>
        <w:br/>
        <w:t>Protocole 5.1; Q6 CPP (tous)</w:t>
      </w:r>
    </w:p>
    <w:p>
      <w:pPr>
        <w:pStyle w:val="page2_normal"/>
      </w:pPr>
      <w:r>
        <w:t>7. Description des modalités de recrutement des personnes (joindre notamment tous les supports publicitaires utilisés pour la recherche en vue du recrutement des personnes) :</w:t>
        <w:br/>
        <w:t xml:space="preserve">Protocole 5.3; Q7 CPP (tous) </w:t>
      </w:r>
    </w:p>
    <w:p>
      <w:pPr>
        <w:pStyle w:val="page2_normal"/>
      </w:pPr>
      <w:r>
        <w:t>8. Procédures d’investigation menées et différences par rapport à la prise en charge habituelle, le cas échéant :</w:t>
        <w:br/>
      </w:r>
    </w:p>
    <w:p>
      <w:pPr>
        <w:pStyle w:val="page2_normal"/>
      </w:pPr>
      <w:r>
        <w:t>9. Justification de l’existence ou non :</w:t>
        <w:br/>
        <w:t xml:space="preserve">           – d’une interdiction de participer simultanément à une autre recherche ;</w:t>
        <w:br/>
        <w:t xml:space="preserve">           – d’une période d’exclusion pendant laquelle la participation à une autre recherche est interdite.</w:t>
        <w:br/>
        <w:t>Protocole 6.8; Q9 CPP (tous)</w:t>
      </w:r>
    </w:p>
    <w:p>
      <w:pPr>
        <w:pStyle w:val="page2_normal"/>
      </w:pPr>
      <w:r>
        <w:t>10. Modalités et montant de l’indemnisation des personnes se prêtant à la recherche, le cas échéant :</w:t>
        <w:br/>
        <w:t>Protocole 6.8; Q10 CPP (tous)</w:t>
      </w:r>
    </w:p>
    <w:p>
      <w:pPr>
        <w:pStyle w:val="page2_normal"/>
      </w:pPr>
      <w:r>
        <w:t>11. Motifs de constitution ou non d’un comité de surveillance indépendant :</w:t>
        <w:br/>
        <w:t>Protocole 10; Q11 CPP (tous)</w:t>
      </w:r>
    </w:p>
    <w:p>
      <w:pPr>
        <w:pStyle w:val="page2_normal"/>
      </w:pPr>
      <w:r>
        <w:t>12. Nombre prévu de personnes à inclure dans la recherche :</w:t>
        <w:br/>
        <w:t>Protocole 11.1; Q12 CPP (tous)</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italic">
    <w:name w:val="page2_italic"/>
    <w:rPr>
      <w:rFonts w:ascii="Arial Narrow" w:hAnsi="Arial Narrow"/>
      <w:i/>
      <w:sz w:val="22"/>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