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rebuchet MS" w:cs="Trebuchet MS" w:eastAsia="Trebuchet MS" w:hAnsi="Trebuchet MS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sz w:val="30"/>
          <w:szCs w:val="30"/>
          <w:rtl w:val="0"/>
        </w:rPr>
        <w:t xml:space="preserve"> Cours amphi Archi</w:t>
      </w:r>
    </w:p>
    <w:p w:rsidR="00000000" w:rsidDel="00000000" w:rsidP="00000000" w:rsidRDefault="00000000" w:rsidRPr="00000000" w14:paraId="00000002">
      <w:pPr>
        <w:jc w:val="center"/>
        <w:rPr>
          <w:rFonts w:ascii="Trebuchet MS" w:cs="Trebuchet MS" w:eastAsia="Trebuchet MS" w:hAnsi="Trebuchet M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rebuchet MS" w:cs="Trebuchet MS" w:eastAsia="Trebuchet MS" w:hAnsi="Trebuchet MS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sz w:val="30"/>
          <w:szCs w:val="30"/>
          <w:rtl w:val="0"/>
        </w:rPr>
        <w:t xml:space="preserve">Représentation des valeurs</w:t>
      </w:r>
    </w:p>
    <w:p w:rsidR="00000000" w:rsidDel="00000000" w:rsidP="00000000" w:rsidRDefault="00000000" w:rsidRPr="00000000" w14:paraId="00000004">
      <w:pPr>
        <w:rPr>
          <w:rFonts w:ascii="Trebuchet MS" w:cs="Trebuchet MS" w:eastAsia="Trebuchet MS" w:hAnsi="Trebuchet MS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30"/>
          <w:szCs w:val="30"/>
        </w:rPr>
        <w:drawing>
          <wp:inline distB="114300" distT="114300" distL="114300" distR="114300">
            <wp:extent cx="5731200" cy="86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rebuchet MS" w:cs="Trebuchet MS" w:eastAsia="Trebuchet MS" w:hAnsi="Trebuchet MS"/>
          <w:b w:val="1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30"/>
          <w:szCs w:val="30"/>
        </w:rPr>
        <w:drawing>
          <wp:inline distB="114300" distT="114300" distL="114300" distR="114300">
            <wp:extent cx="5731200" cy="1308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b w:val="1"/>
          <w:sz w:val="30"/>
          <w:szCs w:val="30"/>
        </w:rPr>
        <w:drawing>
          <wp:inline distB="114300" distT="114300" distL="114300" distR="114300">
            <wp:extent cx="5731200" cy="1320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rebuchet MS" w:cs="Trebuchet MS" w:eastAsia="Trebuchet MS" w:hAnsi="Trebuchet M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rebuchet MS" w:cs="Trebuchet MS" w:eastAsia="Trebuchet MS" w:hAnsi="Trebuchet MS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sz w:val="30"/>
          <w:szCs w:val="30"/>
          <w:rtl w:val="0"/>
        </w:rPr>
        <w:t xml:space="preserve">Log : a quelle puissance il faudrait élever 2 pour avoir k</w:t>
      </w:r>
    </w:p>
    <w:p w:rsidR="00000000" w:rsidDel="00000000" w:rsidP="00000000" w:rsidRDefault="00000000" w:rsidRPr="00000000" w14:paraId="00000008">
      <w:pPr>
        <w:rPr>
          <w:rFonts w:ascii="Trebuchet MS" w:cs="Trebuchet MS" w:eastAsia="Trebuchet MS" w:hAnsi="Trebuchet M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rebuchet MS" w:cs="Trebuchet MS" w:eastAsia="Trebuchet MS" w:hAnsi="Trebuchet MS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sz w:val="30"/>
          <w:szCs w:val="30"/>
          <w:rtl w:val="0"/>
        </w:rPr>
        <w:t xml:space="preserve">Langage ascii : </w:t>
      </w:r>
    </w:p>
    <w:p w:rsidR="00000000" w:rsidDel="00000000" w:rsidP="00000000" w:rsidRDefault="00000000" w:rsidRPr="00000000" w14:paraId="0000000A">
      <w:pPr>
        <w:numPr>
          <w:ilvl w:val="0"/>
          <w:numId w:val="15"/>
        </w:numPr>
        <w:ind w:left="720" w:hanging="360"/>
        <w:rPr>
          <w:rFonts w:ascii="Trebuchet MS" w:cs="Trebuchet MS" w:eastAsia="Trebuchet MS" w:hAnsi="Trebuchet MS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sz w:val="30"/>
          <w:szCs w:val="30"/>
          <w:rtl w:val="0"/>
        </w:rPr>
        <w:t xml:space="preserve">représentation des caractères en anglais sur 7 bits</w:t>
      </w:r>
    </w:p>
    <w:p w:rsidR="00000000" w:rsidDel="00000000" w:rsidP="00000000" w:rsidRDefault="00000000" w:rsidRPr="00000000" w14:paraId="0000000B">
      <w:pPr>
        <w:numPr>
          <w:ilvl w:val="0"/>
          <w:numId w:val="15"/>
        </w:numPr>
        <w:ind w:left="720" w:hanging="360"/>
        <w:rPr>
          <w:rFonts w:ascii="Trebuchet MS" w:cs="Trebuchet MS" w:eastAsia="Trebuchet MS" w:hAnsi="Trebuchet MS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sz w:val="30"/>
          <w:szCs w:val="30"/>
          <w:rtl w:val="0"/>
        </w:rPr>
        <w:t xml:space="preserve">développé dans les année 1960, révisé jusqu’en 1986</w:t>
      </w:r>
    </w:p>
    <w:p w:rsidR="00000000" w:rsidDel="00000000" w:rsidP="00000000" w:rsidRDefault="00000000" w:rsidRPr="00000000" w14:paraId="0000000C">
      <w:pPr>
        <w:rPr>
          <w:rFonts w:ascii="Trebuchet MS" w:cs="Trebuchet MS" w:eastAsia="Trebuchet MS" w:hAnsi="Trebuchet MS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sz w:val="30"/>
          <w:szCs w:val="30"/>
        </w:rPr>
        <w:drawing>
          <wp:inline distB="114300" distT="114300" distL="114300" distR="114300">
            <wp:extent cx="3443288" cy="256681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566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rebuchet MS" w:cs="Trebuchet MS" w:eastAsia="Trebuchet MS" w:hAnsi="Trebuchet MS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sz w:val="30"/>
          <w:szCs w:val="30"/>
        </w:rPr>
        <w:drawing>
          <wp:inline distB="114300" distT="114300" distL="114300" distR="114300">
            <wp:extent cx="5731200" cy="3568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sz w:val="30"/>
          <w:szCs w:val="30"/>
        </w:rPr>
        <w:drawing>
          <wp:inline distB="114300" distT="114300" distL="114300" distR="114300">
            <wp:extent cx="5731200" cy="4000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sz w:val="30"/>
          <w:szCs w:val="30"/>
        </w:rPr>
        <w:drawing>
          <wp:inline distB="114300" distT="114300" distL="114300" distR="114300">
            <wp:extent cx="2899138" cy="287178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9138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sz w:val="30"/>
          <w:szCs w:val="30"/>
        </w:rPr>
        <w:drawing>
          <wp:inline distB="114300" distT="114300" distL="114300" distR="114300">
            <wp:extent cx="5731200" cy="2895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Verdana" w:cs="Verdana" w:eastAsia="Verdana" w:hAnsi="Verdana"/>
          <w:color w:val="4e5a66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color w:val="4e5a66"/>
          <w:sz w:val="19"/>
          <w:szCs w:val="19"/>
          <w:rtl w:val="0"/>
        </w:rPr>
        <w:t xml:space="preserve">Il existe plusieurs encodages Unicode </w:t>
      </w: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: 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4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UTF-8 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1 à 4 octets par caractère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0xxxxxxx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110xxxxx 10xxxxxx</w:t>
      </w:r>
    </w:p>
    <w:p w:rsidR="00000000" w:rsidDel="00000000" w:rsidP="00000000" w:rsidRDefault="00000000" w:rsidRPr="00000000" w14:paraId="00000013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1110xxxx 10xxxxxx 10xxxxxx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11110xxx 10xxxxxx 10xxxxxx 10xxxxxx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Compatible ASCII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Environ 97% des pages web actuelles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4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UTF-16</w:t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2 ou 4 octets par caractère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Non compatible ASCII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Utilise en interne par Windows et JAVA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4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UTF-32 </w:t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360" w:hanging="360"/>
        <w:rPr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4e5a66"/>
          <w:sz w:val="19"/>
          <w:szCs w:val="19"/>
          <w:rtl w:val="0"/>
        </w:rPr>
        <w:t xml:space="preserve">taille fixe de 4 octets par caractère</w:t>
      </w:r>
    </w:p>
    <w:p w:rsidR="00000000" w:rsidDel="00000000" w:rsidP="00000000" w:rsidRDefault="00000000" w:rsidRPr="00000000" w14:paraId="0000001D">
      <w:pPr>
        <w:rPr>
          <w:rFonts w:ascii="Trebuchet MS" w:cs="Trebuchet MS" w:eastAsia="Trebuchet MS" w:hAnsi="Trebuchet MS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sz w:val="30"/>
          <w:szCs w:val="30"/>
        </w:rPr>
        <w:drawing>
          <wp:inline distB="114300" distT="114300" distL="114300" distR="114300">
            <wp:extent cx="5731200" cy="2832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sz w:val="30"/>
          <w:szCs w:val="30"/>
        </w:rPr>
        <w:drawing>
          <wp:inline distB="114300" distT="114300" distL="114300" distR="114300">
            <wp:extent cx="5731200" cy="3009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○"/>
      <w:lvlJc w:val="left"/>
      <w:pPr>
        <w:ind w:left="720" w:hanging="360"/>
      </w:pPr>
      <w:rPr>
        <w:rFonts w:ascii="Verdana" w:cs="Verdana" w:eastAsia="Verdana" w:hAnsi="Verdana"/>
        <w:color w:val="4e5a6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