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6FAD3" w14:textId="77777777" w:rsidR="00BD1001" w:rsidRPr="00054198" w:rsidRDefault="00054198">
      <w:pPr>
        <w:pBdr>
          <w:top w:val="nil"/>
          <w:left w:val="nil"/>
          <w:bottom w:val="nil"/>
          <w:right w:val="nil"/>
          <w:between w:val="nil"/>
        </w:pBdr>
        <w:spacing w:after="0"/>
        <w:ind w:left="29"/>
        <w:rPr>
          <w:sz w:val="36"/>
          <w:szCs w:val="36"/>
        </w:rPr>
      </w:pPr>
      <w:r w:rsidRPr="00054198">
        <w:rPr>
          <w:sz w:val="36"/>
          <w:szCs w:val="36"/>
        </w:rPr>
        <w:t>Cours n°9</w:t>
      </w:r>
    </w:p>
    <w:p w14:paraId="50317187" w14:textId="77777777" w:rsidR="00BD1001" w:rsidRPr="00054198" w:rsidRDefault="00BD1001">
      <w:pPr>
        <w:spacing w:after="0" w:line="240" w:lineRule="auto"/>
        <w:rPr>
          <w:rFonts w:ascii="Times New Roman" w:eastAsia="Times New Roman" w:hAnsi="Times New Roman" w:cs="Times New Roman"/>
          <w:sz w:val="28"/>
          <w:szCs w:val="28"/>
        </w:rPr>
      </w:pPr>
    </w:p>
    <w:p w14:paraId="13DD3212"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i/>
          <w:sz w:val="28"/>
          <w:szCs w:val="28"/>
        </w:rPr>
      </w:pPr>
      <w:r w:rsidRPr="00054198">
        <w:rPr>
          <w:rFonts w:ascii="Comic Sans MS" w:eastAsia="Comic Sans MS" w:hAnsi="Comic Sans MS" w:cs="Comic Sans MS"/>
          <w:i/>
          <w:sz w:val="28"/>
          <w:szCs w:val="28"/>
        </w:rPr>
        <w:t>Maître de Conférences en Sciences de gestion - Université de Montpellier</w:t>
      </w:r>
    </w:p>
    <w:p w14:paraId="27D690D7"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i/>
          <w:sz w:val="28"/>
          <w:szCs w:val="28"/>
        </w:rPr>
      </w:pPr>
      <w:r w:rsidRPr="00054198">
        <w:rPr>
          <w:rFonts w:ascii="Comic Sans MS" w:eastAsia="Comic Sans MS" w:hAnsi="Comic Sans MS" w:cs="Comic Sans MS"/>
          <w:i/>
          <w:sz w:val="28"/>
          <w:szCs w:val="28"/>
        </w:rPr>
        <w:t>Contact: antoine.chollet@umontpellier.fr</w:t>
      </w:r>
    </w:p>
    <w:p w14:paraId="6D7F59B3"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i/>
          <w:sz w:val="28"/>
          <w:szCs w:val="28"/>
        </w:rPr>
      </w:pPr>
      <w:r w:rsidRPr="00054198">
        <w:rPr>
          <w:rFonts w:ascii="Comic Sans MS" w:eastAsia="Comic Sans MS" w:hAnsi="Comic Sans MS" w:cs="Comic Sans MS"/>
          <w:i/>
          <w:sz w:val="28"/>
          <w:szCs w:val="28"/>
        </w:rPr>
        <w:t>Twitter: @Antoine_Chollet </w:t>
      </w:r>
    </w:p>
    <w:p w14:paraId="49A120D0"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i/>
          <w:sz w:val="28"/>
          <w:szCs w:val="28"/>
        </w:rPr>
      </w:pPr>
      <w:r w:rsidRPr="00054198">
        <w:rPr>
          <w:rFonts w:ascii="Comic Sans MS" w:eastAsia="Comic Sans MS" w:hAnsi="Comic Sans MS" w:cs="Comic Sans MS"/>
          <w:i/>
          <w:sz w:val="28"/>
          <w:szCs w:val="28"/>
        </w:rPr>
        <w:t>Date: 15/11/2021</w:t>
      </w:r>
    </w:p>
    <w:p w14:paraId="45749DE9" w14:textId="77777777" w:rsidR="00BD1001" w:rsidRPr="00054198" w:rsidRDefault="00BD1001">
      <w:pPr>
        <w:spacing w:after="0" w:line="240" w:lineRule="auto"/>
        <w:rPr>
          <w:rFonts w:ascii="Times New Roman" w:eastAsia="Times New Roman" w:hAnsi="Times New Roman" w:cs="Times New Roman"/>
          <w:sz w:val="28"/>
          <w:szCs w:val="28"/>
        </w:rPr>
      </w:pPr>
    </w:p>
    <w:p w14:paraId="25DABF06" w14:textId="77777777" w:rsidR="00BD1001" w:rsidRPr="00054198" w:rsidRDefault="00054198">
      <w:pPr>
        <w:spacing w:after="0" w:line="240" w:lineRule="auto"/>
        <w:rPr>
          <w:rFonts w:ascii="Times New Roman" w:eastAsia="Times New Roman" w:hAnsi="Times New Roman" w:cs="Times New Roman"/>
          <w:sz w:val="28"/>
          <w:szCs w:val="28"/>
        </w:rPr>
      </w:pPr>
      <w:r w:rsidRPr="00054198">
        <w:rPr>
          <w:rFonts w:ascii="Arial" w:eastAsia="Arial" w:hAnsi="Arial" w:cs="Arial"/>
          <w:sz w:val="28"/>
          <w:szCs w:val="28"/>
        </w:rPr>
        <w:t> </w:t>
      </w:r>
    </w:p>
    <w:p w14:paraId="53DF18AD" w14:textId="77777777" w:rsidR="00BD1001" w:rsidRPr="00054198" w:rsidRDefault="00054198">
      <w:pPr>
        <w:pBdr>
          <w:top w:val="nil"/>
          <w:left w:val="nil"/>
          <w:bottom w:val="nil"/>
          <w:right w:val="nil"/>
          <w:between w:val="nil"/>
        </w:pBdr>
        <w:spacing w:after="0" w:line="240" w:lineRule="auto"/>
        <w:rPr>
          <w:rFonts w:ascii="Times New Roman" w:eastAsia="Times New Roman" w:hAnsi="Times New Roman" w:cs="Times New Roman"/>
          <w:sz w:val="28"/>
          <w:szCs w:val="28"/>
          <w:u w:val="single"/>
        </w:rPr>
      </w:pPr>
      <w:r w:rsidRPr="00054198">
        <w:rPr>
          <w:rFonts w:ascii="Comic Sans MS" w:eastAsia="Comic Sans MS" w:hAnsi="Comic Sans MS" w:cs="Comic Sans MS"/>
          <w:sz w:val="28"/>
          <w:szCs w:val="28"/>
          <w:u w:val="single"/>
        </w:rPr>
        <w:t>9-:</w:t>
      </w:r>
    </w:p>
    <w:p w14:paraId="30C29A56"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u w:val="single"/>
        </w:rPr>
      </w:pPr>
      <w:r w:rsidRPr="00054198">
        <w:rPr>
          <w:rFonts w:ascii="Comic Sans MS" w:eastAsia="Comic Sans MS" w:hAnsi="Comic Sans MS" w:cs="Comic Sans MS"/>
          <w:sz w:val="28"/>
          <w:szCs w:val="28"/>
        </w:rPr>
        <w:br/>
        <w:t xml:space="preserve">  </w:t>
      </w:r>
      <w:r w:rsidRPr="00054198">
        <w:rPr>
          <w:rFonts w:ascii="Comic Sans MS" w:eastAsia="Comic Sans MS" w:hAnsi="Comic Sans MS" w:cs="Comic Sans MS"/>
          <w:sz w:val="28"/>
          <w:szCs w:val="28"/>
          <w:u w:val="single"/>
        </w:rPr>
        <w:t>I- Introduction</w:t>
      </w:r>
    </w:p>
    <w:p w14:paraId="34A7A7E4"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1EE096B8"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Comic Sans MS" w:eastAsia="Comic Sans MS" w:hAnsi="Comic Sans MS" w:cs="Comic Sans MS"/>
          <w:noProof/>
          <w:sz w:val="28"/>
          <w:szCs w:val="28"/>
        </w:rPr>
        <w:drawing>
          <wp:inline distT="0" distB="0" distL="0" distR="0" wp14:anchorId="06BE0F79" wp14:editId="44644B48">
            <wp:extent cx="5760720" cy="2722880"/>
            <wp:effectExtent l="0" t="0" r="0" b="0"/>
            <wp:docPr id="10" name="image1.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png" descr="Une image contenant texte&#10;&#10;Description générée automatiquement"/>
                    <pic:cNvPicPr preferRelativeResize="0"/>
                  </pic:nvPicPr>
                  <pic:blipFill>
                    <a:blip r:embed="rId6"/>
                    <a:srcRect/>
                    <a:stretch>
                      <a:fillRect/>
                    </a:stretch>
                  </pic:blipFill>
                  <pic:spPr>
                    <a:xfrm>
                      <a:off x="0" y="0"/>
                      <a:ext cx="5760720" cy="2722880"/>
                    </a:xfrm>
                    <a:prstGeom prst="rect">
                      <a:avLst/>
                    </a:prstGeom>
                    <a:ln/>
                  </pic:spPr>
                </pic:pic>
              </a:graphicData>
            </a:graphic>
          </wp:inline>
        </w:drawing>
      </w:r>
    </w:p>
    <w:p w14:paraId="2902CFDC"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6BECFB8B"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u w:val="single"/>
        </w:rPr>
        <w:t>II- Stratégies de croissance de l'entreprise</w:t>
      </w:r>
    </w:p>
    <w:p w14:paraId="7D7AEE6A"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w:t>
      </w:r>
      <w:r w:rsidRPr="00054198">
        <w:rPr>
          <w:rFonts w:ascii="Verdana" w:eastAsia="Verdana" w:hAnsi="Verdana" w:cs="Verdana"/>
          <w:b/>
          <w:sz w:val="28"/>
          <w:szCs w:val="28"/>
        </w:rPr>
        <w:t>Définir encore et toujours définir</w:t>
      </w:r>
    </w:p>
    <w:p w14:paraId="70196080" w14:textId="6FB258DC"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w:t>
      </w:r>
      <w:r w:rsidRPr="00054198">
        <w:rPr>
          <w:rFonts w:ascii="Verdana" w:eastAsia="Verdana" w:hAnsi="Verdana" w:cs="Verdana"/>
          <w:b/>
          <w:sz w:val="28"/>
          <w:szCs w:val="28"/>
        </w:rPr>
        <w:t>Stratégie :</w:t>
      </w:r>
      <w:r w:rsidRPr="00054198">
        <w:rPr>
          <w:rFonts w:ascii="Verdana" w:eastAsia="Verdana" w:hAnsi="Verdana" w:cs="Verdana"/>
          <w:b/>
          <w:sz w:val="28"/>
          <w:szCs w:val="28"/>
        </w:rPr>
        <w:t xml:space="preserve"> Une</w:t>
      </w:r>
      <w:r w:rsidRPr="00054198">
        <w:rPr>
          <w:rFonts w:ascii="Verdana" w:eastAsia="Verdana" w:hAnsi="Verdana" w:cs="Verdana"/>
          <w:sz w:val="28"/>
          <w:szCs w:val="28"/>
        </w:rPr>
        <w:t xml:space="preserve"> stratégie désigne </w:t>
      </w:r>
      <w:r w:rsidRPr="00054198">
        <w:rPr>
          <w:rFonts w:ascii="Verdana" w:eastAsia="Verdana" w:hAnsi="Verdana" w:cs="Verdana"/>
          <w:b/>
          <w:sz w:val="28"/>
          <w:szCs w:val="28"/>
        </w:rPr>
        <w:t>l'orientation de toutes les actions</w:t>
      </w:r>
      <w:r w:rsidRPr="00054198">
        <w:rPr>
          <w:rFonts w:ascii="Verdana" w:eastAsia="Verdana" w:hAnsi="Verdana" w:cs="Verdana"/>
          <w:sz w:val="28"/>
          <w:szCs w:val="28"/>
        </w:rPr>
        <w:t> menées par une entreprise afin d'atteindre un objectif donné</w:t>
      </w:r>
      <w:r w:rsidRPr="00054198">
        <w:rPr>
          <w:rFonts w:ascii="Verdana" w:eastAsia="Verdana" w:hAnsi="Verdana" w:cs="Verdana"/>
          <w:sz w:val="28"/>
          <w:szCs w:val="28"/>
        </w:rPr>
        <w:t>.</w:t>
      </w:r>
    </w:p>
    <w:p w14:paraId="1898026B" w14:textId="77777777" w:rsidR="00BD1001" w:rsidRPr="00054198" w:rsidRDefault="00BD1001">
      <w:pPr>
        <w:spacing w:after="0" w:line="240" w:lineRule="auto"/>
        <w:rPr>
          <w:rFonts w:ascii="Verdana" w:eastAsia="Verdana" w:hAnsi="Verdana" w:cs="Verdana"/>
          <w:sz w:val="28"/>
          <w:szCs w:val="28"/>
        </w:rPr>
      </w:pPr>
    </w:p>
    <w:p w14:paraId="1AA17659" w14:textId="1F8F5659"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w:t>
      </w:r>
      <w:r w:rsidRPr="00054198">
        <w:rPr>
          <w:rFonts w:ascii="Verdana" w:eastAsia="Verdana" w:hAnsi="Verdana" w:cs="Verdana"/>
          <w:b/>
          <w:sz w:val="28"/>
          <w:szCs w:val="28"/>
        </w:rPr>
        <w:t> Précision :</w:t>
      </w:r>
      <w:r w:rsidRPr="00054198">
        <w:rPr>
          <w:rFonts w:ascii="Verdana" w:eastAsia="Verdana" w:hAnsi="Verdana" w:cs="Verdana"/>
          <w:sz w:val="28"/>
          <w:szCs w:val="28"/>
        </w:rPr>
        <w:t> Il convient de différencier la stratégie d'une entreprise de sa politique (</w:t>
      </w:r>
      <w:r w:rsidRPr="00054198">
        <w:rPr>
          <w:rFonts w:ascii="Verdana" w:eastAsia="Verdana" w:hAnsi="Verdana" w:cs="Verdana"/>
          <w:i/>
          <w:sz w:val="28"/>
          <w:szCs w:val="28"/>
        </w:rPr>
        <w:t>règles de conduite édictées afin de se conformer à une stratégie</w:t>
      </w:r>
      <w:r w:rsidRPr="00054198">
        <w:rPr>
          <w:rFonts w:ascii="Verdana" w:eastAsia="Verdana" w:hAnsi="Verdana" w:cs="Verdana"/>
          <w:sz w:val="28"/>
          <w:szCs w:val="28"/>
        </w:rPr>
        <w:t>) et de son plan d'action (</w:t>
      </w:r>
      <w:r w:rsidRPr="00054198">
        <w:rPr>
          <w:rFonts w:ascii="Verdana" w:eastAsia="Verdana" w:hAnsi="Verdana" w:cs="Verdana"/>
          <w:i/>
          <w:sz w:val="28"/>
          <w:szCs w:val="28"/>
        </w:rPr>
        <w:t>ensemble des actions mises en place</w:t>
      </w:r>
      <w:r w:rsidRPr="00054198">
        <w:rPr>
          <w:rFonts w:ascii="Verdana" w:eastAsia="Verdana" w:hAnsi="Verdana" w:cs="Verdana"/>
          <w:sz w:val="28"/>
          <w:szCs w:val="28"/>
        </w:rPr>
        <w:t>).</w:t>
      </w:r>
    </w:p>
    <w:p w14:paraId="3F460601"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w:t>
      </w:r>
    </w:p>
    <w:p w14:paraId="7C612DC0"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lastRenderedPageBreak/>
        <w:t>  </w:t>
      </w:r>
      <w:r w:rsidRPr="00054198">
        <w:rPr>
          <w:rFonts w:ascii="Verdana" w:eastAsia="Verdana" w:hAnsi="Verdana" w:cs="Verdana"/>
          <w:b/>
          <w:sz w:val="28"/>
          <w:szCs w:val="28"/>
        </w:rPr>
        <w:t>Conséquence :</w:t>
      </w:r>
      <w:r w:rsidRPr="00054198">
        <w:rPr>
          <w:rFonts w:ascii="Verdana" w:eastAsia="Verdana" w:hAnsi="Verdana" w:cs="Verdana"/>
          <w:sz w:val="28"/>
          <w:szCs w:val="28"/>
        </w:rPr>
        <w:t xml:space="preserve"> une stratégie permet d'acquérir </w:t>
      </w:r>
      <w:r w:rsidRPr="00054198">
        <w:rPr>
          <w:rFonts w:ascii="Verdana" w:eastAsia="Verdana" w:hAnsi="Verdana" w:cs="Verdana"/>
          <w:sz w:val="28"/>
          <w:szCs w:val="28"/>
        </w:rPr>
        <w:t>un avantage concurrentiel sur un marché.</w:t>
      </w:r>
    </w:p>
    <w:p w14:paraId="37251357" w14:textId="354F1772"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Il existe plusieurs stratégies possibles vis-à-vis des activités de l'entreprise. Par exemple :</w:t>
      </w:r>
    </w:p>
    <w:p w14:paraId="2463BC5C" w14:textId="77777777" w:rsidR="00BD1001" w:rsidRPr="00054198" w:rsidRDefault="00054198">
      <w:pPr>
        <w:numPr>
          <w:ilvl w:val="0"/>
          <w:numId w:val="16"/>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Stratégie commerciale [TD n°6]</w:t>
      </w:r>
    </w:p>
    <w:p w14:paraId="213DE167" w14:textId="77777777" w:rsidR="00BD1001" w:rsidRPr="00054198" w:rsidRDefault="00054198">
      <w:pPr>
        <w:numPr>
          <w:ilvl w:val="0"/>
          <w:numId w:val="1"/>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Stratégie financière.</w:t>
      </w:r>
    </w:p>
    <w:p w14:paraId="5DFCE6EF" w14:textId="77777777" w:rsidR="00BD1001" w:rsidRPr="00054198" w:rsidRDefault="00054198">
      <w:pPr>
        <w:numPr>
          <w:ilvl w:val="0"/>
          <w:numId w:val="2"/>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Stratégie technologique.</w:t>
      </w:r>
    </w:p>
    <w:p w14:paraId="4A3459B5" w14:textId="77777777" w:rsidR="00BD1001" w:rsidRPr="00054198" w:rsidRDefault="00054198">
      <w:pPr>
        <w:numPr>
          <w:ilvl w:val="0"/>
          <w:numId w:val="3"/>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Stratégie marketing [TD n°7]</w:t>
      </w:r>
    </w:p>
    <w:p w14:paraId="55624A65" w14:textId="77777777" w:rsidR="00BD1001" w:rsidRPr="00054198" w:rsidRDefault="00054198">
      <w:pPr>
        <w:numPr>
          <w:ilvl w:val="0"/>
          <w:numId w:val="5"/>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w:t>
      </w:r>
    </w:p>
    <w:p w14:paraId="36CCF622" w14:textId="77777777" w:rsidR="00BD1001" w:rsidRPr="00054198" w:rsidRDefault="00BD1001">
      <w:pPr>
        <w:spacing w:after="0" w:line="240" w:lineRule="auto"/>
        <w:rPr>
          <w:rFonts w:ascii="Verdana" w:eastAsia="Verdana" w:hAnsi="Verdana" w:cs="Verdana"/>
          <w:sz w:val="28"/>
          <w:szCs w:val="28"/>
        </w:rPr>
      </w:pPr>
    </w:p>
    <w:p w14:paraId="700B5056" w14:textId="77777777" w:rsidR="00BD1001" w:rsidRPr="00054198" w:rsidRDefault="00BD1001">
      <w:pPr>
        <w:spacing w:after="0" w:line="240" w:lineRule="auto"/>
        <w:rPr>
          <w:rFonts w:ascii="Verdana" w:eastAsia="Verdana" w:hAnsi="Verdana" w:cs="Verdana"/>
          <w:sz w:val="28"/>
          <w:szCs w:val="28"/>
        </w:rPr>
      </w:pPr>
    </w:p>
    <w:p w14:paraId="7D15F936"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w:t>
      </w:r>
      <w:r w:rsidRPr="00054198">
        <w:rPr>
          <w:rFonts w:ascii="Verdana" w:eastAsia="Verdana" w:hAnsi="Verdana" w:cs="Verdana"/>
          <w:b/>
          <w:sz w:val="28"/>
          <w:szCs w:val="28"/>
        </w:rPr>
        <w:t>T</w:t>
      </w:r>
      <w:r w:rsidRPr="00054198">
        <w:rPr>
          <w:rFonts w:ascii="Verdana" w:eastAsia="Verdana" w:hAnsi="Verdana" w:cs="Verdana"/>
          <w:b/>
          <w:sz w:val="28"/>
          <w:szCs w:val="28"/>
        </w:rPr>
        <w:t>ic-tac fait l'horloge stratégique</w:t>
      </w:r>
    </w:p>
    <w:p w14:paraId="4F068421"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Comic Sans MS" w:eastAsia="Comic Sans MS" w:hAnsi="Comic Sans MS" w:cs="Comic Sans MS"/>
          <w:noProof/>
          <w:sz w:val="28"/>
          <w:szCs w:val="28"/>
        </w:rPr>
        <w:drawing>
          <wp:inline distT="0" distB="0" distL="0" distR="0" wp14:anchorId="56A8D715" wp14:editId="265016E0">
            <wp:extent cx="4410691" cy="260068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410691" cy="2600688"/>
                    </a:xfrm>
                    <a:prstGeom prst="rect">
                      <a:avLst/>
                    </a:prstGeom>
                    <a:ln/>
                  </pic:spPr>
                </pic:pic>
              </a:graphicData>
            </a:graphic>
          </wp:inline>
        </w:drawing>
      </w:r>
    </w:p>
    <w:p w14:paraId="4807B50A"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6AB90C4F"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581A1E12"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b/>
          <w:sz w:val="28"/>
          <w:szCs w:val="28"/>
        </w:rPr>
        <w:t>Objectif :</w:t>
      </w:r>
      <w:r w:rsidRPr="00054198">
        <w:rPr>
          <w:rFonts w:ascii="Verdana" w:eastAsia="Verdana" w:hAnsi="Verdana" w:cs="Verdana"/>
          <w:sz w:val="28"/>
          <w:szCs w:val="28"/>
        </w:rPr>
        <w:t> L'horloge stratégique propose une vue d'ensemble des différentes stratégies concurrentielles. Pour chaque stratégie, l'avantage concurrentiel repose sur la valeur perçue et le prix proposé pour l'offre de l'entreprise, comparés à l'offre de référence (off</w:t>
      </w:r>
      <w:r w:rsidRPr="00054198">
        <w:rPr>
          <w:rFonts w:ascii="Verdana" w:eastAsia="Verdana" w:hAnsi="Verdana" w:cs="Verdana"/>
          <w:sz w:val="28"/>
          <w:szCs w:val="28"/>
        </w:rPr>
        <w:t>re standard). Ce modèle est utilisé comme représentation synthétique des stratégies concurrentielles.</w:t>
      </w:r>
    </w:p>
    <w:p w14:paraId="7D007D8A"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=&gt; Cette horloge suit la vie de l'entreprise.</w:t>
      </w:r>
    </w:p>
    <w:p w14:paraId="16DD11A5"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w:t>
      </w:r>
    </w:p>
    <w:p w14:paraId="39FA99D2" w14:textId="77777777" w:rsidR="00BD1001" w:rsidRPr="00054198" w:rsidRDefault="00054198">
      <w:pPr>
        <w:numPr>
          <w:ilvl w:val="0"/>
          <w:numId w:val="8"/>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S1 &gt; épuration (</w:t>
      </w:r>
      <w:r w:rsidRPr="00054198">
        <w:rPr>
          <w:rFonts w:ascii="Verdana" w:eastAsia="Verdana" w:hAnsi="Verdana" w:cs="Verdana"/>
          <w:i/>
          <w:sz w:val="28"/>
          <w:szCs w:val="28"/>
        </w:rPr>
        <w:t>ou différentiation par le bas</w:t>
      </w:r>
      <w:r w:rsidRPr="00054198">
        <w:rPr>
          <w:rFonts w:ascii="Verdana" w:eastAsia="Verdana" w:hAnsi="Verdana" w:cs="Verdana"/>
          <w:sz w:val="28"/>
          <w:szCs w:val="28"/>
        </w:rPr>
        <w:t>) : valeur et prix réduits. </w:t>
      </w:r>
    </w:p>
    <w:p w14:paraId="5DEBCD93" w14:textId="77777777" w:rsidR="00BD1001" w:rsidRPr="00054198" w:rsidRDefault="00054198">
      <w:pPr>
        <w:numPr>
          <w:ilvl w:val="0"/>
          <w:numId w:val="11"/>
        </w:numPr>
        <w:spacing w:after="0" w:line="240" w:lineRule="auto"/>
        <w:ind w:left="1080"/>
        <w:rPr>
          <w:rFonts w:ascii="Verdana" w:eastAsia="Verdana" w:hAnsi="Verdana" w:cs="Verdana"/>
          <w:sz w:val="28"/>
          <w:szCs w:val="28"/>
        </w:rPr>
      </w:pPr>
      <w:r w:rsidRPr="00054198">
        <w:rPr>
          <w:rFonts w:ascii="Verdana" w:eastAsia="Verdana" w:hAnsi="Verdana" w:cs="Verdana"/>
          <w:i/>
          <w:sz w:val="28"/>
          <w:szCs w:val="28"/>
        </w:rPr>
        <w:t>Ex : constructeurs automo</w:t>
      </w:r>
      <w:r w:rsidRPr="00054198">
        <w:rPr>
          <w:rFonts w:ascii="Verdana" w:eastAsia="Verdana" w:hAnsi="Verdana" w:cs="Verdana"/>
          <w:i/>
          <w:sz w:val="28"/>
          <w:szCs w:val="28"/>
        </w:rPr>
        <w:t>bile japonais en Europe en 1960</w:t>
      </w:r>
    </w:p>
    <w:p w14:paraId="3A3A7AC3" w14:textId="03B01003" w:rsidR="00BD1001" w:rsidRPr="00054198" w:rsidRDefault="00054198">
      <w:pPr>
        <w:numPr>
          <w:ilvl w:val="0"/>
          <w:numId w:val="6"/>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lastRenderedPageBreak/>
        <w:t>  S2 &gt; Domination par les coûts :</w:t>
      </w:r>
      <w:r w:rsidRPr="00054198">
        <w:rPr>
          <w:rFonts w:ascii="Verdana" w:eastAsia="Verdana" w:hAnsi="Verdana" w:cs="Verdana"/>
          <w:sz w:val="28"/>
          <w:szCs w:val="28"/>
        </w:rPr>
        <w:t xml:space="preserve"> offre comparable mais coût et prix inférieurs.</w:t>
      </w:r>
    </w:p>
    <w:p w14:paraId="70845611" w14:textId="35238A37" w:rsidR="00BD1001" w:rsidRPr="00054198" w:rsidRDefault="00054198">
      <w:pPr>
        <w:numPr>
          <w:ilvl w:val="0"/>
          <w:numId w:val="9"/>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S3 &gt; Stratégie hybride :</w:t>
      </w:r>
      <w:r w:rsidRPr="00054198">
        <w:rPr>
          <w:rFonts w:ascii="Verdana" w:eastAsia="Verdana" w:hAnsi="Verdana" w:cs="Verdana"/>
          <w:sz w:val="28"/>
          <w:szCs w:val="28"/>
        </w:rPr>
        <w:t xml:space="preserve"> surcroît de valeur et baisse de prix.</w:t>
      </w:r>
    </w:p>
    <w:p w14:paraId="1FE6B21B" w14:textId="066E190B" w:rsidR="00BD1001" w:rsidRPr="00054198" w:rsidRDefault="00054198">
      <w:pPr>
        <w:numPr>
          <w:ilvl w:val="0"/>
          <w:numId w:val="12"/>
        </w:numPr>
        <w:spacing w:after="0" w:line="240" w:lineRule="auto"/>
        <w:ind w:left="1080"/>
        <w:rPr>
          <w:rFonts w:ascii="Verdana" w:eastAsia="Verdana" w:hAnsi="Verdana" w:cs="Verdana"/>
          <w:sz w:val="28"/>
          <w:szCs w:val="28"/>
        </w:rPr>
      </w:pPr>
      <w:r w:rsidRPr="00054198">
        <w:rPr>
          <w:rFonts w:ascii="Verdana" w:eastAsia="Verdana" w:hAnsi="Verdana" w:cs="Verdana"/>
          <w:i/>
          <w:sz w:val="28"/>
          <w:szCs w:val="28"/>
        </w:rPr>
        <w:t>Ex :</w:t>
      </w:r>
      <w:r w:rsidRPr="00054198">
        <w:rPr>
          <w:rFonts w:ascii="Verdana" w:eastAsia="Verdana" w:hAnsi="Verdana" w:cs="Verdana"/>
          <w:i/>
          <w:sz w:val="28"/>
          <w:szCs w:val="28"/>
        </w:rPr>
        <w:t xml:space="preserve"> Ikea et son offre originale en magasins uniques à des prix attractifs</w:t>
      </w:r>
      <w:r w:rsidRPr="00054198">
        <w:rPr>
          <w:rFonts w:ascii="Verdana" w:eastAsia="Verdana" w:hAnsi="Verdana" w:cs="Verdana"/>
          <w:sz w:val="28"/>
          <w:szCs w:val="28"/>
        </w:rPr>
        <w:t>.</w:t>
      </w:r>
    </w:p>
    <w:p w14:paraId="704B66E2" w14:textId="77777777" w:rsidR="00BD1001" w:rsidRPr="00054198" w:rsidRDefault="00054198">
      <w:pPr>
        <w:numPr>
          <w:ilvl w:val="0"/>
          <w:numId w:val="14"/>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S4 &gt; Sophistication sans surprix : pour conquérir des parts de marché.</w:t>
      </w:r>
    </w:p>
    <w:p w14:paraId="17B6EB55" w14:textId="077DDFD7" w:rsidR="00BD1001" w:rsidRPr="00054198" w:rsidRDefault="00054198">
      <w:pPr>
        <w:numPr>
          <w:ilvl w:val="0"/>
          <w:numId w:val="15"/>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S5 &gt; Sophistication (ou différenciation par le haut) :</w:t>
      </w:r>
      <w:r w:rsidRPr="00054198">
        <w:rPr>
          <w:rFonts w:ascii="Verdana" w:eastAsia="Verdana" w:hAnsi="Verdana" w:cs="Verdana"/>
          <w:sz w:val="28"/>
          <w:szCs w:val="28"/>
        </w:rPr>
        <w:t xml:space="preserve"> valeur et prix supérieurs.</w:t>
      </w:r>
    </w:p>
    <w:p w14:paraId="5F6EDFD6" w14:textId="481118BD" w:rsidR="00BD1001" w:rsidRPr="00054198" w:rsidRDefault="00054198">
      <w:pPr>
        <w:numPr>
          <w:ilvl w:val="0"/>
          <w:numId w:val="17"/>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S6 &gt; Valeur standard et surprix :</w:t>
      </w:r>
      <w:r w:rsidRPr="00054198">
        <w:rPr>
          <w:rFonts w:ascii="Verdana" w:eastAsia="Verdana" w:hAnsi="Verdana" w:cs="Verdana"/>
          <w:sz w:val="28"/>
          <w:szCs w:val="28"/>
        </w:rPr>
        <w:t xml:space="preserve"> marge supérieure, mais risque de baisse des ventes.</w:t>
      </w:r>
    </w:p>
    <w:p w14:paraId="3B8E0B48" w14:textId="34626C1E" w:rsidR="00BD1001" w:rsidRPr="00054198" w:rsidRDefault="00054198">
      <w:pPr>
        <w:numPr>
          <w:ilvl w:val="0"/>
          <w:numId w:val="18"/>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S7 &gt; Baisse de valeur et surprix :</w:t>
      </w:r>
      <w:r w:rsidRPr="00054198">
        <w:rPr>
          <w:rFonts w:ascii="Verdana" w:eastAsia="Verdana" w:hAnsi="Verdana" w:cs="Verdana"/>
          <w:sz w:val="28"/>
          <w:szCs w:val="28"/>
        </w:rPr>
        <w:t xml:space="preserve"> possible uniquement en situation de monopole.</w:t>
      </w:r>
    </w:p>
    <w:p w14:paraId="53538A45" w14:textId="103D22F8" w:rsidR="00BD1001" w:rsidRPr="00054198" w:rsidRDefault="00054198">
      <w:pPr>
        <w:numPr>
          <w:ilvl w:val="0"/>
          <w:numId w:val="19"/>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S8 &gt; Baisse de valeur et prix standard :</w:t>
      </w:r>
      <w:r w:rsidRPr="00054198">
        <w:rPr>
          <w:rFonts w:ascii="Verdana" w:eastAsia="Verdana" w:hAnsi="Verdana" w:cs="Verdana"/>
          <w:sz w:val="28"/>
          <w:szCs w:val="28"/>
        </w:rPr>
        <w:t xml:space="preserve"> risque fort de perte de parts de marché.</w:t>
      </w:r>
    </w:p>
    <w:p w14:paraId="46EC4CFC" w14:textId="4C19C2FA" w:rsidR="00BD1001" w:rsidRPr="00054198" w:rsidRDefault="00054198">
      <w:pPr>
        <w:numPr>
          <w:ilvl w:val="0"/>
          <w:numId w:val="20"/>
        </w:numPr>
        <w:spacing w:after="0" w:line="240" w:lineRule="auto"/>
        <w:ind w:left="1440"/>
        <w:rPr>
          <w:rFonts w:ascii="Verdana" w:eastAsia="Verdana" w:hAnsi="Verdana" w:cs="Verdana"/>
          <w:sz w:val="28"/>
          <w:szCs w:val="28"/>
        </w:rPr>
      </w:pPr>
      <w:r w:rsidRPr="00054198">
        <w:rPr>
          <w:rFonts w:ascii="Verdana" w:eastAsia="Verdana" w:hAnsi="Verdana" w:cs="Verdana"/>
          <w:sz w:val="28"/>
          <w:szCs w:val="28"/>
        </w:rPr>
        <w:t>Foca</w:t>
      </w:r>
      <w:r w:rsidRPr="00054198">
        <w:rPr>
          <w:rFonts w:ascii="Verdana" w:eastAsia="Verdana" w:hAnsi="Verdana" w:cs="Verdana"/>
          <w:sz w:val="28"/>
          <w:szCs w:val="28"/>
        </w:rPr>
        <w:t>lisation par le haut :</w:t>
      </w:r>
      <w:r w:rsidRPr="00054198">
        <w:rPr>
          <w:rFonts w:ascii="Verdana" w:eastAsia="Verdana" w:hAnsi="Verdana" w:cs="Verdana"/>
          <w:sz w:val="28"/>
          <w:szCs w:val="28"/>
        </w:rPr>
        <w:t xml:space="preserve"> offre limitée à une frange ....</w:t>
      </w:r>
    </w:p>
    <w:p w14:paraId="72524A2B" w14:textId="35A947DC" w:rsidR="00BD1001" w:rsidRPr="00054198" w:rsidRDefault="00054198">
      <w:pPr>
        <w:numPr>
          <w:ilvl w:val="0"/>
          <w:numId w:val="21"/>
        </w:numPr>
        <w:spacing w:after="0" w:line="240" w:lineRule="auto"/>
        <w:ind w:left="1440"/>
        <w:rPr>
          <w:rFonts w:ascii="Verdana" w:eastAsia="Verdana" w:hAnsi="Verdana" w:cs="Verdana"/>
          <w:sz w:val="28"/>
          <w:szCs w:val="28"/>
        </w:rPr>
      </w:pPr>
      <w:r w:rsidRPr="00054198">
        <w:rPr>
          <w:rFonts w:ascii="Verdana" w:eastAsia="Verdana" w:hAnsi="Verdana" w:cs="Verdana"/>
          <w:sz w:val="28"/>
          <w:szCs w:val="28"/>
        </w:rPr>
        <w:t>Focalisation par le bas :</w:t>
      </w:r>
      <w:r w:rsidRPr="00054198">
        <w:rPr>
          <w:rFonts w:ascii="Verdana" w:eastAsia="Verdana" w:hAnsi="Verdana" w:cs="Verdana"/>
          <w:sz w:val="28"/>
          <w:szCs w:val="28"/>
        </w:rPr>
        <w:t xml:space="preserve"> ....</w:t>
      </w:r>
    </w:p>
    <w:p w14:paraId="59F43FAB" w14:textId="77777777" w:rsidR="00BD1001" w:rsidRPr="00054198" w:rsidRDefault="00BD1001">
      <w:pPr>
        <w:spacing w:after="0" w:line="240" w:lineRule="auto"/>
        <w:rPr>
          <w:rFonts w:ascii="Verdana" w:eastAsia="Verdana" w:hAnsi="Verdana" w:cs="Verdana"/>
          <w:sz w:val="28"/>
          <w:szCs w:val="28"/>
        </w:rPr>
      </w:pPr>
    </w:p>
    <w:p w14:paraId="0A3B5A44" w14:textId="77777777" w:rsidR="00BD1001" w:rsidRPr="00054198" w:rsidRDefault="00BD1001">
      <w:pPr>
        <w:spacing w:after="0" w:line="240" w:lineRule="auto"/>
        <w:rPr>
          <w:rFonts w:ascii="Verdana" w:eastAsia="Verdana" w:hAnsi="Verdana" w:cs="Verdana"/>
          <w:sz w:val="28"/>
          <w:szCs w:val="28"/>
        </w:rPr>
      </w:pPr>
    </w:p>
    <w:p w14:paraId="22029FB2" w14:textId="77777777" w:rsidR="00BD1001" w:rsidRPr="00054198" w:rsidRDefault="00BD1001">
      <w:pPr>
        <w:spacing w:after="0" w:line="240" w:lineRule="auto"/>
        <w:rPr>
          <w:rFonts w:ascii="Verdana" w:eastAsia="Verdana" w:hAnsi="Verdana" w:cs="Verdana"/>
          <w:sz w:val="28"/>
          <w:szCs w:val="28"/>
        </w:rPr>
      </w:pPr>
    </w:p>
    <w:p w14:paraId="59B543F5"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w:t>
      </w:r>
      <w:r w:rsidRPr="00054198">
        <w:rPr>
          <w:rFonts w:ascii="Verdana" w:eastAsia="Verdana" w:hAnsi="Verdana" w:cs="Verdana"/>
          <w:b/>
          <w:sz w:val="28"/>
          <w:szCs w:val="28"/>
        </w:rPr>
        <w:t>Exemple de stratégies à succès et à échec</w:t>
      </w:r>
    </w:p>
    <w:p w14:paraId="19FCF51C"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Comic Sans MS" w:eastAsia="Comic Sans MS" w:hAnsi="Comic Sans MS" w:cs="Comic Sans MS"/>
          <w:noProof/>
          <w:sz w:val="28"/>
          <w:szCs w:val="28"/>
        </w:rPr>
        <w:drawing>
          <wp:inline distT="0" distB="0" distL="0" distR="0" wp14:anchorId="698A4579" wp14:editId="78981256">
            <wp:extent cx="4991797" cy="2610214"/>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91797" cy="2610214"/>
                    </a:xfrm>
                    <a:prstGeom prst="rect">
                      <a:avLst/>
                    </a:prstGeom>
                    <a:ln/>
                  </pic:spPr>
                </pic:pic>
              </a:graphicData>
            </a:graphic>
          </wp:inline>
        </w:drawing>
      </w:r>
    </w:p>
    <w:p w14:paraId="1853E441"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6568441D"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Cas de la téléphonie mobile </w:t>
      </w:r>
    </w:p>
    <w:p w14:paraId="6C09F6B5" w14:textId="5B653F4E"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Moralité : à vouloir faire dans tout et être tout pour tout le monde,</w:t>
      </w:r>
      <w:r w:rsidRPr="00054198">
        <w:rPr>
          <w:rFonts w:ascii="Verdana" w:eastAsia="Verdana" w:hAnsi="Verdana" w:cs="Verdana"/>
          <w:sz w:val="28"/>
          <w:szCs w:val="28"/>
        </w:rPr>
        <w:t xml:space="preserve"> on en devient à êt</w:t>
      </w:r>
      <w:r w:rsidRPr="00054198">
        <w:rPr>
          <w:rFonts w:ascii="Verdana" w:eastAsia="Verdana" w:hAnsi="Verdana" w:cs="Verdana"/>
          <w:sz w:val="28"/>
          <w:szCs w:val="28"/>
        </w:rPr>
        <w:t>re inexistant voire plus rien pour personne</w:t>
      </w:r>
    </w:p>
    <w:p w14:paraId="554A665A" w14:textId="1C2A55A0" w:rsidR="00BD1001"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lastRenderedPageBreak/>
        <w:t xml:space="preserve">   </w:t>
      </w:r>
    </w:p>
    <w:p w14:paraId="22457A6A" w14:textId="77777777" w:rsidR="00BD1001" w:rsidRPr="00054198" w:rsidRDefault="00054198">
      <w:pPr>
        <w:numPr>
          <w:ilvl w:val="0"/>
          <w:numId w:val="4"/>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Samsung, le constructeur sud-coréen, a fait le choix de la domination par les coûts (forte part de marché, prix maîtrisé et bonne rentabilité des investissements).</w:t>
      </w:r>
    </w:p>
    <w:p w14:paraId="5E7607AD" w14:textId="2609F037" w:rsidR="00BD1001" w:rsidRPr="00054198" w:rsidRDefault="00054198">
      <w:pPr>
        <w:numPr>
          <w:ilvl w:val="0"/>
          <w:numId w:val="7"/>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xml:space="preserve">   Apple, qui propose depuis 2007 son </w:t>
      </w:r>
      <w:r>
        <w:rPr>
          <w:rFonts w:ascii="Verdana" w:eastAsia="Verdana" w:hAnsi="Verdana" w:cs="Verdana"/>
          <w:sz w:val="28"/>
          <w:szCs w:val="28"/>
        </w:rPr>
        <w:t>i</w:t>
      </w:r>
      <w:r w:rsidRPr="00054198">
        <w:rPr>
          <w:rFonts w:ascii="Verdana" w:eastAsia="Verdana" w:hAnsi="Verdana" w:cs="Verdana"/>
          <w:sz w:val="28"/>
          <w:szCs w:val="28"/>
        </w:rPr>
        <w:t>Phone au design unique et aux nombreuses applicati</w:t>
      </w:r>
      <w:r w:rsidRPr="00054198">
        <w:rPr>
          <w:rFonts w:ascii="Verdana" w:eastAsia="Verdana" w:hAnsi="Verdana" w:cs="Verdana"/>
          <w:sz w:val="28"/>
          <w:szCs w:val="28"/>
        </w:rPr>
        <w:t>ons, a choisi la sophistication (part de marché limité, surprix et forte rentabilité)</w:t>
      </w:r>
    </w:p>
    <w:p w14:paraId="71116983" w14:textId="77777777" w:rsidR="00BD1001" w:rsidRPr="00054198" w:rsidRDefault="00054198">
      <w:pPr>
        <w:numPr>
          <w:ilvl w:val="0"/>
          <w:numId w:val="10"/>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Nokia, longtemps leader mondial de la téléphonie mobile, le constructeur finlandais Nokia a eu beaucoup de difficultés à trouver un positionnement satisfaisant pour se</w:t>
      </w:r>
      <w:r w:rsidRPr="00054198">
        <w:rPr>
          <w:rFonts w:ascii="Verdana" w:eastAsia="Verdana" w:hAnsi="Verdana" w:cs="Verdana"/>
          <w:sz w:val="28"/>
          <w:szCs w:val="28"/>
        </w:rPr>
        <w:t>s smartphones et, faute de choix stratégique pertinent, est resté enlisé dans cette voie médiane. Fin 2013, Nokia a finalement été racheté par Microsoft pour y être intégré en tant que Windows Phone.</w:t>
      </w:r>
    </w:p>
    <w:p w14:paraId="4409B57C"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u w:val="single"/>
        </w:rPr>
        <w:t>Cas de la téléphonie mobile </w:t>
      </w:r>
    </w:p>
    <w:p w14:paraId="4384294B" w14:textId="77777777" w:rsidR="00BD1001" w:rsidRPr="00054198" w:rsidRDefault="00054198">
      <w:pPr>
        <w:numPr>
          <w:ilvl w:val="0"/>
          <w:numId w:val="13"/>
        </w:numPr>
        <w:spacing w:after="0" w:line="240" w:lineRule="auto"/>
        <w:ind w:left="1080"/>
        <w:rPr>
          <w:rFonts w:ascii="Verdana" w:eastAsia="Verdana" w:hAnsi="Verdana" w:cs="Verdana"/>
          <w:sz w:val="28"/>
          <w:szCs w:val="28"/>
        </w:rPr>
      </w:pPr>
      <w:r w:rsidRPr="00054198">
        <w:rPr>
          <w:rFonts w:ascii="Verdana" w:eastAsia="Verdana" w:hAnsi="Verdana" w:cs="Verdana"/>
          <w:sz w:val="28"/>
          <w:szCs w:val="28"/>
        </w:rPr>
        <w:t>   Moralité : à vouloir fai</w:t>
      </w:r>
      <w:r w:rsidRPr="00054198">
        <w:rPr>
          <w:rFonts w:ascii="Verdana" w:eastAsia="Verdana" w:hAnsi="Verdana" w:cs="Verdana"/>
          <w:sz w:val="28"/>
          <w:szCs w:val="28"/>
        </w:rPr>
        <w:t>re dans tout et être tout pour tout le monde, on en devient à être inexistant voire plus rien pour personne</w:t>
      </w:r>
    </w:p>
    <w:p w14:paraId="4030F485"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highlight w:val="white"/>
        </w:rPr>
        <w:t> </w:t>
      </w:r>
      <w:r w:rsidRPr="00054198">
        <w:rPr>
          <w:rFonts w:ascii="Verdana" w:eastAsia="Verdana" w:hAnsi="Verdana" w:cs="Verdana"/>
          <w:b/>
          <w:sz w:val="28"/>
          <w:szCs w:val="28"/>
          <w:highlight w:val="white"/>
        </w:rPr>
        <w:t>Faire des choix stratégiques : La spécialisation ou la diversification</w:t>
      </w:r>
    </w:p>
    <w:p w14:paraId="312156BA"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Comic Sans MS" w:eastAsia="Comic Sans MS" w:hAnsi="Comic Sans MS" w:cs="Comic Sans MS"/>
          <w:noProof/>
          <w:sz w:val="28"/>
          <w:szCs w:val="28"/>
        </w:rPr>
        <w:drawing>
          <wp:inline distT="0" distB="0" distL="0" distR="0" wp14:anchorId="7D047635" wp14:editId="2F37D0F5">
            <wp:extent cx="5760720" cy="358394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60720" cy="3583940"/>
                    </a:xfrm>
                    <a:prstGeom prst="rect">
                      <a:avLst/>
                    </a:prstGeom>
                    <a:ln/>
                  </pic:spPr>
                </pic:pic>
              </a:graphicData>
            </a:graphic>
          </wp:inline>
        </w:drawing>
      </w:r>
    </w:p>
    <w:p w14:paraId="6708F130"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5D19B38D"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Verdana" w:eastAsia="Verdana" w:hAnsi="Verdana" w:cs="Verdana"/>
          <w:b/>
          <w:sz w:val="28"/>
          <w:szCs w:val="28"/>
          <w:highlight w:val="white"/>
        </w:rPr>
        <w:t>Objectif :</w:t>
      </w:r>
      <w:r w:rsidRPr="00054198">
        <w:rPr>
          <w:rFonts w:ascii="Verdana" w:eastAsia="Verdana" w:hAnsi="Verdana" w:cs="Verdana"/>
          <w:sz w:val="28"/>
          <w:szCs w:val="28"/>
          <w:highlight w:val="white"/>
        </w:rPr>
        <w:t xml:space="preserve"> La spécialisation est le contraire de la diversification. Le dirigeant doit s'interroger sur l'opportunité de l'une o l'autre </w:t>
      </w:r>
      <w:r w:rsidRPr="00054198">
        <w:rPr>
          <w:rFonts w:ascii="Verdana" w:eastAsia="Verdana" w:hAnsi="Verdana" w:cs="Verdana"/>
          <w:sz w:val="28"/>
          <w:szCs w:val="28"/>
          <w:highlight w:val="white"/>
        </w:rPr>
        <w:lastRenderedPageBreak/>
        <w:t>de ces 2 stratégies de croissance. Si l'activité est en démarrage ou en croissance, la spécialisation sera une stratégie pertinen</w:t>
      </w:r>
      <w:r w:rsidRPr="00054198">
        <w:rPr>
          <w:rFonts w:ascii="Verdana" w:eastAsia="Verdana" w:hAnsi="Verdana" w:cs="Verdana"/>
          <w:sz w:val="28"/>
          <w:szCs w:val="28"/>
          <w:highlight w:val="white"/>
        </w:rPr>
        <w:t>te, particulièrement si l'entreprise a des ressources limitées. A l'inverse, en phase de maturité, et plus encore de déclin.</w:t>
      </w:r>
    </w:p>
    <w:p w14:paraId="3E09FE64"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207117D3"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Comic Sans MS" w:eastAsia="Comic Sans MS" w:hAnsi="Comic Sans MS" w:cs="Comic Sans MS"/>
          <w:noProof/>
          <w:sz w:val="28"/>
          <w:szCs w:val="28"/>
        </w:rPr>
        <w:drawing>
          <wp:inline distT="0" distB="0" distL="0" distR="0" wp14:anchorId="0B580AAB" wp14:editId="4B9DF66C">
            <wp:extent cx="5760720" cy="6223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60720" cy="622300"/>
                    </a:xfrm>
                    <a:prstGeom prst="rect">
                      <a:avLst/>
                    </a:prstGeom>
                    <a:ln/>
                  </pic:spPr>
                </pic:pic>
              </a:graphicData>
            </a:graphic>
          </wp:inline>
        </w:drawing>
      </w:r>
    </w:p>
    <w:p w14:paraId="2DABB6CC"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2F906BFA"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528B34AE"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4170CF67"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1FD1743E"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41652F7D"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61DB9464"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3FD8B332"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775F4A18"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1DAA7F1F" w14:textId="77777777" w:rsidR="00BD1001" w:rsidRPr="00054198" w:rsidRDefault="00054198">
      <w:pPr>
        <w:pBdr>
          <w:top w:val="nil"/>
          <w:left w:val="nil"/>
          <w:bottom w:val="nil"/>
          <w:right w:val="nil"/>
          <w:between w:val="nil"/>
        </w:pBdr>
        <w:spacing w:after="0" w:line="240" w:lineRule="auto"/>
        <w:rPr>
          <w:rFonts w:ascii="Verdana" w:eastAsia="Verdana" w:hAnsi="Verdana" w:cs="Verdana"/>
          <w:b/>
          <w:sz w:val="28"/>
          <w:szCs w:val="28"/>
          <w:highlight w:val="white"/>
        </w:rPr>
      </w:pPr>
      <w:r w:rsidRPr="00054198">
        <w:rPr>
          <w:rFonts w:ascii="Verdana" w:eastAsia="Verdana" w:hAnsi="Verdana" w:cs="Verdana"/>
          <w:b/>
          <w:sz w:val="28"/>
          <w:szCs w:val="28"/>
          <w:highlight w:val="white"/>
        </w:rPr>
        <w:t>Focus sur la diversification stratégique</w:t>
      </w:r>
    </w:p>
    <w:p w14:paraId="30DB7A3D"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Comic Sans MS" w:eastAsia="Comic Sans MS" w:hAnsi="Comic Sans MS" w:cs="Comic Sans MS"/>
          <w:noProof/>
          <w:sz w:val="28"/>
          <w:szCs w:val="28"/>
        </w:rPr>
        <w:drawing>
          <wp:inline distT="0" distB="0" distL="0" distR="0" wp14:anchorId="06035ED6" wp14:editId="4A59E3CD">
            <wp:extent cx="4344006" cy="363905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344006" cy="3639058"/>
                    </a:xfrm>
                    <a:prstGeom prst="rect">
                      <a:avLst/>
                    </a:prstGeom>
                    <a:ln/>
                  </pic:spPr>
                </pic:pic>
              </a:graphicData>
            </a:graphic>
          </wp:inline>
        </w:drawing>
      </w:r>
    </w:p>
    <w:p w14:paraId="6EED55EA"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2205F775"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b/>
          <w:sz w:val="28"/>
          <w:szCs w:val="28"/>
        </w:rPr>
        <w:t>Objectif :</w:t>
      </w:r>
      <w:r w:rsidRPr="00054198">
        <w:rPr>
          <w:rFonts w:ascii="Verdana" w:eastAsia="Verdana" w:hAnsi="Verdana" w:cs="Verdana"/>
          <w:sz w:val="28"/>
          <w:szCs w:val="28"/>
        </w:rPr>
        <w:t xml:space="preserve"> La diversification stratégique correspond pour l'entreprise à un développement vers un domaine d'activité </w:t>
      </w:r>
      <w:r w:rsidRPr="00054198">
        <w:rPr>
          <w:rFonts w:ascii="Verdana" w:eastAsia="Verdana" w:hAnsi="Verdana" w:cs="Verdana"/>
          <w:sz w:val="28"/>
          <w:szCs w:val="28"/>
        </w:rPr>
        <w:lastRenderedPageBreak/>
        <w:t>inédit. La maîtrise d'un nouveau métier est nécessaire et passe par la prise en compte d'un changement de facteurs clés de succès. Le portefeuille d'</w:t>
      </w:r>
      <w:r w:rsidRPr="00054198">
        <w:rPr>
          <w:rFonts w:ascii="Verdana" w:eastAsia="Verdana" w:hAnsi="Verdana" w:cs="Verdana"/>
          <w:sz w:val="28"/>
          <w:szCs w:val="28"/>
        </w:rPr>
        <w:t>activités de l'entreprise qui s'engage dans une diversification comportera de nouveaux DAS. La diversification liée utilise des synergies avec les activités existantes, ce qui n'est pas le cas de la diversification.   </w:t>
      </w:r>
    </w:p>
    <w:p w14:paraId="59F30A4F"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&gt; Microsoft avec le jeu vidéo [</w:t>
      </w:r>
      <w:r w:rsidRPr="00054198">
        <w:rPr>
          <w:rFonts w:ascii="Verdana" w:eastAsia="Verdana" w:hAnsi="Verdana" w:cs="Verdana"/>
          <w:i/>
          <w:sz w:val="28"/>
          <w:szCs w:val="28"/>
        </w:rPr>
        <w:t>Diversification horizontale</w:t>
      </w:r>
      <w:r w:rsidRPr="00054198">
        <w:rPr>
          <w:rFonts w:ascii="Verdana" w:eastAsia="Verdana" w:hAnsi="Verdana" w:cs="Verdana"/>
          <w:sz w:val="28"/>
          <w:szCs w:val="28"/>
        </w:rPr>
        <w:t>].</w:t>
      </w:r>
    </w:p>
    <w:p w14:paraId="5BDF6B7D"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&gt; Bouygues avec la téléphonie [</w:t>
      </w:r>
      <w:r w:rsidRPr="00054198">
        <w:rPr>
          <w:rFonts w:ascii="Verdana" w:eastAsia="Verdana" w:hAnsi="Verdana" w:cs="Verdana"/>
          <w:i/>
          <w:sz w:val="28"/>
          <w:szCs w:val="28"/>
        </w:rPr>
        <w:t>Diversification verticale</w:t>
      </w:r>
      <w:r w:rsidRPr="00054198">
        <w:rPr>
          <w:rFonts w:ascii="Verdana" w:eastAsia="Verdana" w:hAnsi="Verdana" w:cs="Verdana"/>
          <w:sz w:val="28"/>
          <w:szCs w:val="28"/>
        </w:rPr>
        <w:t>].</w:t>
      </w:r>
    </w:p>
    <w:p w14:paraId="252B7EBE"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&gt; Free avec l'amélioration du S.A.V. [</w:t>
      </w:r>
      <w:r w:rsidRPr="00054198">
        <w:rPr>
          <w:rFonts w:ascii="Verdana" w:eastAsia="Verdana" w:hAnsi="Verdana" w:cs="Verdana"/>
          <w:i/>
          <w:sz w:val="28"/>
          <w:szCs w:val="28"/>
        </w:rPr>
        <w:t>Intégration aval</w:t>
      </w:r>
      <w:r w:rsidRPr="00054198">
        <w:rPr>
          <w:rFonts w:ascii="Verdana" w:eastAsia="Verdana" w:hAnsi="Verdana" w:cs="Verdana"/>
          <w:sz w:val="28"/>
          <w:szCs w:val="28"/>
        </w:rPr>
        <w:t>].</w:t>
      </w:r>
    </w:p>
    <w:p w14:paraId="10A9FAD2" w14:textId="77777777" w:rsidR="00BD1001" w:rsidRPr="00054198" w:rsidRDefault="00054198">
      <w:pPr>
        <w:spacing w:after="0" w:line="240" w:lineRule="auto"/>
        <w:rPr>
          <w:rFonts w:ascii="Verdana" w:eastAsia="Verdana" w:hAnsi="Verdana" w:cs="Verdana"/>
          <w:sz w:val="28"/>
          <w:szCs w:val="28"/>
        </w:rPr>
      </w:pPr>
      <w:r w:rsidRPr="00054198">
        <w:rPr>
          <w:rFonts w:ascii="Verdana" w:eastAsia="Verdana" w:hAnsi="Verdana" w:cs="Verdana"/>
          <w:sz w:val="28"/>
          <w:szCs w:val="28"/>
        </w:rPr>
        <w:t> &gt; Unilin avec de nouveaux matériaux [</w:t>
      </w:r>
      <w:r w:rsidRPr="00054198">
        <w:rPr>
          <w:rFonts w:ascii="Verdana" w:eastAsia="Verdana" w:hAnsi="Verdana" w:cs="Verdana"/>
          <w:i/>
          <w:sz w:val="28"/>
          <w:szCs w:val="28"/>
        </w:rPr>
        <w:t>Intégration amont</w:t>
      </w:r>
      <w:r w:rsidRPr="00054198">
        <w:rPr>
          <w:rFonts w:ascii="Verdana" w:eastAsia="Verdana" w:hAnsi="Verdana" w:cs="Verdana"/>
          <w:sz w:val="28"/>
          <w:szCs w:val="28"/>
        </w:rPr>
        <w:t>]</w:t>
      </w:r>
    </w:p>
    <w:p w14:paraId="6407FBD1"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21545D3D" w14:textId="77777777" w:rsidR="00BD1001" w:rsidRPr="00054198" w:rsidRDefault="00054198">
      <w:pPr>
        <w:pBdr>
          <w:top w:val="nil"/>
          <w:left w:val="nil"/>
          <w:bottom w:val="nil"/>
          <w:right w:val="nil"/>
          <w:between w:val="nil"/>
        </w:pBdr>
        <w:spacing w:after="0" w:line="240" w:lineRule="auto"/>
        <w:rPr>
          <w:rFonts w:ascii="Verdana" w:eastAsia="Verdana" w:hAnsi="Verdana" w:cs="Verdana"/>
          <w:b/>
          <w:sz w:val="28"/>
          <w:szCs w:val="28"/>
          <w:highlight w:val="white"/>
          <w:u w:val="single"/>
        </w:rPr>
      </w:pPr>
      <w:r w:rsidRPr="00054198">
        <w:rPr>
          <w:rFonts w:ascii="Verdana" w:eastAsia="Verdana" w:hAnsi="Verdana" w:cs="Verdana"/>
          <w:b/>
          <w:sz w:val="28"/>
          <w:szCs w:val="28"/>
          <w:highlight w:val="white"/>
          <w:u w:val="single"/>
        </w:rPr>
        <w:t>Types de diversifi</w:t>
      </w:r>
      <w:r w:rsidRPr="00054198">
        <w:rPr>
          <w:rFonts w:ascii="Verdana" w:eastAsia="Verdana" w:hAnsi="Verdana" w:cs="Verdana"/>
          <w:b/>
          <w:sz w:val="28"/>
          <w:szCs w:val="28"/>
          <w:highlight w:val="white"/>
          <w:u w:val="single"/>
        </w:rPr>
        <w:t>cation </w:t>
      </w:r>
    </w:p>
    <w:p w14:paraId="3C89BE9C"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Comic Sans MS" w:eastAsia="Comic Sans MS" w:hAnsi="Comic Sans MS" w:cs="Comic Sans MS"/>
          <w:noProof/>
          <w:sz w:val="28"/>
          <w:szCs w:val="28"/>
        </w:rPr>
        <w:drawing>
          <wp:inline distT="0" distB="0" distL="0" distR="0" wp14:anchorId="758501D1" wp14:editId="0AA3A0AC">
            <wp:extent cx="6310674" cy="706751"/>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310674" cy="706751"/>
                    </a:xfrm>
                    <a:prstGeom prst="rect">
                      <a:avLst/>
                    </a:prstGeom>
                    <a:ln/>
                  </pic:spPr>
                </pic:pic>
              </a:graphicData>
            </a:graphic>
          </wp:inline>
        </w:drawing>
      </w:r>
    </w:p>
    <w:p w14:paraId="0B622B29"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501E781E"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3BF307E4" w14:textId="77777777" w:rsidR="00BD1001" w:rsidRPr="00054198" w:rsidRDefault="00054198">
      <w:pPr>
        <w:spacing w:after="0" w:line="240" w:lineRule="auto"/>
        <w:rPr>
          <w:rFonts w:ascii="Verdana" w:eastAsia="Verdana" w:hAnsi="Verdana" w:cs="Verdana"/>
          <w:b/>
          <w:sz w:val="24"/>
          <w:szCs w:val="24"/>
        </w:rPr>
      </w:pPr>
      <w:r w:rsidRPr="00054198">
        <w:rPr>
          <w:rFonts w:ascii="Verdana" w:eastAsia="Verdana" w:hAnsi="Verdana" w:cs="Verdana"/>
          <w:b/>
          <w:sz w:val="24"/>
          <w:szCs w:val="24"/>
        </w:rPr>
        <w:t>La synergie de diversification (</w:t>
      </w:r>
      <w:r w:rsidRPr="00054198">
        <w:rPr>
          <w:rFonts w:ascii="Verdana" w:eastAsia="Verdana" w:hAnsi="Verdana" w:cs="Verdana"/>
          <w:b/>
          <w:i/>
          <w:sz w:val="24"/>
          <w:szCs w:val="24"/>
        </w:rPr>
        <w:t>Oui : 1+1 = 3</w:t>
      </w:r>
      <w:r w:rsidRPr="00054198">
        <w:rPr>
          <w:rFonts w:ascii="Verdana" w:eastAsia="Verdana" w:hAnsi="Verdana" w:cs="Verdana"/>
          <w:b/>
          <w:sz w:val="24"/>
          <w:szCs w:val="24"/>
        </w:rPr>
        <w:t>)</w:t>
      </w:r>
    </w:p>
    <w:p w14:paraId="75828C5E" w14:textId="77777777" w:rsidR="00BD1001" w:rsidRPr="00054198" w:rsidRDefault="00054198">
      <w:pPr>
        <w:spacing w:after="0" w:line="240" w:lineRule="auto"/>
        <w:rPr>
          <w:rFonts w:ascii="Verdana" w:eastAsia="Verdana" w:hAnsi="Verdana" w:cs="Verdana"/>
          <w:sz w:val="24"/>
          <w:szCs w:val="24"/>
        </w:rPr>
      </w:pPr>
      <w:r w:rsidRPr="00054198">
        <w:rPr>
          <w:rFonts w:ascii="Verdana" w:eastAsia="Verdana" w:hAnsi="Verdana" w:cs="Verdana"/>
          <w:noProof/>
          <w:sz w:val="24"/>
          <w:szCs w:val="24"/>
        </w:rPr>
        <w:drawing>
          <wp:inline distT="0" distB="0" distL="0" distR="0" wp14:anchorId="42578FC5" wp14:editId="343355A1">
            <wp:extent cx="4372585" cy="3648584"/>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372585" cy="3648584"/>
                    </a:xfrm>
                    <a:prstGeom prst="rect">
                      <a:avLst/>
                    </a:prstGeom>
                    <a:ln/>
                  </pic:spPr>
                </pic:pic>
              </a:graphicData>
            </a:graphic>
          </wp:inline>
        </w:drawing>
      </w:r>
    </w:p>
    <w:p w14:paraId="2C4FEA7C" w14:textId="77777777" w:rsidR="00BD1001" w:rsidRPr="00054198" w:rsidRDefault="00054198">
      <w:pPr>
        <w:spacing w:after="0" w:line="240" w:lineRule="auto"/>
        <w:rPr>
          <w:rFonts w:ascii="Verdana" w:eastAsia="Verdana" w:hAnsi="Verdana" w:cs="Verdana"/>
          <w:sz w:val="24"/>
          <w:szCs w:val="24"/>
        </w:rPr>
      </w:pPr>
      <w:r w:rsidRPr="00054198">
        <w:rPr>
          <w:rFonts w:ascii="Verdana" w:eastAsia="Verdana" w:hAnsi="Verdana" w:cs="Verdana"/>
          <w:sz w:val="24"/>
          <w:szCs w:val="24"/>
        </w:rPr>
        <w:t> </w:t>
      </w:r>
      <w:r w:rsidRPr="00054198">
        <w:rPr>
          <w:rFonts w:ascii="Verdana" w:eastAsia="Verdana" w:hAnsi="Verdana" w:cs="Verdana"/>
          <w:b/>
          <w:sz w:val="24"/>
          <w:szCs w:val="24"/>
        </w:rPr>
        <w:t>Objectif :</w:t>
      </w:r>
      <w:r w:rsidRPr="00054198">
        <w:rPr>
          <w:rFonts w:ascii="Verdana" w:eastAsia="Verdana" w:hAnsi="Verdana" w:cs="Verdana"/>
          <w:sz w:val="24"/>
          <w:szCs w:val="24"/>
        </w:rPr>
        <w:t> Les synergies apparaissent quand la performance combinée des DAS et supérieure à la somme de leurs performance individuelles (1+1 = 3), grâce à un partage des coûts ou par création de valeur supplémentaire. La diversification liée utilise des synergies av</w:t>
      </w:r>
      <w:r w:rsidRPr="00054198">
        <w:rPr>
          <w:rFonts w:ascii="Verdana" w:eastAsia="Verdana" w:hAnsi="Verdana" w:cs="Verdana"/>
          <w:sz w:val="24"/>
          <w:szCs w:val="24"/>
        </w:rPr>
        <w:t xml:space="preserve">ec l'activité initiale, à partir de ses marchés, de ses produits ou de ses compétences (Que l'on nomme des pivots de diversification). En revanche, la </w:t>
      </w:r>
      <w:r w:rsidRPr="00054198">
        <w:rPr>
          <w:rFonts w:ascii="Verdana" w:eastAsia="Verdana" w:hAnsi="Verdana" w:cs="Verdana"/>
          <w:sz w:val="24"/>
          <w:szCs w:val="24"/>
        </w:rPr>
        <w:lastRenderedPageBreak/>
        <w:t>diversification conglomérale se dirige vers des domaines n'ayant aucun point commun avec les activités ex</w:t>
      </w:r>
      <w:r w:rsidRPr="00054198">
        <w:rPr>
          <w:rFonts w:ascii="Verdana" w:eastAsia="Verdana" w:hAnsi="Verdana" w:cs="Verdana"/>
          <w:sz w:val="24"/>
          <w:szCs w:val="24"/>
        </w:rPr>
        <w:t>istantes.</w:t>
      </w:r>
    </w:p>
    <w:p w14:paraId="10E36619" w14:textId="77777777" w:rsidR="00BD1001" w:rsidRPr="00054198" w:rsidRDefault="00054198">
      <w:pPr>
        <w:spacing w:after="0" w:line="240" w:lineRule="auto"/>
        <w:rPr>
          <w:rFonts w:ascii="Verdana" w:eastAsia="Verdana" w:hAnsi="Verdana" w:cs="Verdana"/>
          <w:sz w:val="24"/>
          <w:szCs w:val="24"/>
        </w:rPr>
      </w:pPr>
      <w:r w:rsidRPr="00054198">
        <w:rPr>
          <w:rFonts w:ascii="Verdana" w:eastAsia="Verdana" w:hAnsi="Verdana" w:cs="Verdana"/>
          <w:sz w:val="24"/>
          <w:szCs w:val="24"/>
        </w:rPr>
        <w:t> &gt; </w:t>
      </w:r>
      <w:r w:rsidRPr="00054198">
        <w:rPr>
          <w:rFonts w:ascii="Verdana" w:eastAsia="Verdana" w:hAnsi="Verdana" w:cs="Verdana"/>
          <w:b/>
          <w:sz w:val="24"/>
          <w:szCs w:val="24"/>
        </w:rPr>
        <w:t>Toute stratégie de diversification devrait utiliser des synergies avec l'activité principale.</w:t>
      </w:r>
    </w:p>
    <w:p w14:paraId="7ED098C2" w14:textId="77777777" w:rsidR="00BD1001" w:rsidRPr="00054198" w:rsidRDefault="00BD1001">
      <w:pPr>
        <w:spacing w:after="0" w:line="240" w:lineRule="auto"/>
        <w:rPr>
          <w:rFonts w:ascii="Verdana" w:eastAsia="Verdana" w:hAnsi="Verdana" w:cs="Verdana"/>
          <w:sz w:val="24"/>
          <w:szCs w:val="24"/>
        </w:rPr>
      </w:pPr>
    </w:p>
    <w:p w14:paraId="238135DA" w14:textId="77777777" w:rsidR="00BD1001" w:rsidRPr="00054198" w:rsidRDefault="00054198">
      <w:pPr>
        <w:spacing w:after="0" w:line="240" w:lineRule="auto"/>
        <w:rPr>
          <w:rFonts w:ascii="Verdana" w:eastAsia="Verdana" w:hAnsi="Verdana" w:cs="Verdana"/>
          <w:sz w:val="24"/>
          <w:szCs w:val="24"/>
        </w:rPr>
      </w:pPr>
      <w:r w:rsidRPr="00054198">
        <w:rPr>
          <w:rFonts w:ascii="Verdana" w:eastAsia="Verdana" w:hAnsi="Verdana" w:cs="Verdana"/>
          <w:sz w:val="24"/>
          <w:szCs w:val="24"/>
        </w:rPr>
        <w:t> </w:t>
      </w:r>
      <w:r w:rsidRPr="00054198">
        <w:rPr>
          <w:rFonts w:ascii="Verdana" w:eastAsia="Verdana" w:hAnsi="Verdana" w:cs="Verdana"/>
          <w:b/>
          <w:sz w:val="24"/>
          <w:szCs w:val="24"/>
          <w:u w:val="single"/>
        </w:rPr>
        <w:t>Types de pivots de diversification : </w:t>
      </w:r>
    </w:p>
    <w:p w14:paraId="2EFBAAE9" w14:textId="77777777" w:rsidR="00BD1001" w:rsidRPr="00054198" w:rsidRDefault="00054198">
      <w:pPr>
        <w:pBdr>
          <w:top w:val="nil"/>
          <w:left w:val="nil"/>
          <w:bottom w:val="nil"/>
          <w:right w:val="nil"/>
          <w:between w:val="nil"/>
        </w:pBdr>
        <w:spacing w:after="0" w:line="240" w:lineRule="auto"/>
        <w:rPr>
          <w:rFonts w:ascii="Comic Sans MS" w:eastAsia="Comic Sans MS" w:hAnsi="Comic Sans MS" w:cs="Comic Sans MS"/>
          <w:sz w:val="28"/>
          <w:szCs w:val="28"/>
        </w:rPr>
      </w:pPr>
      <w:r w:rsidRPr="00054198">
        <w:rPr>
          <w:rFonts w:ascii="Comic Sans MS" w:eastAsia="Comic Sans MS" w:hAnsi="Comic Sans MS" w:cs="Comic Sans MS"/>
          <w:noProof/>
          <w:sz w:val="28"/>
          <w:szCs w:val="28"/>
        </w:rPr>
        <w:drawing>
          <wp:inline distT="0" distB="0" distL="0" distR="0" wp14:anchorId="3068CBE5" wp14:editId="3F62D1D4">
            <wp:extent cx="5760720" cy="60261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60720" cy="602615"/>
                    </a:xfrm>
                    <a:prstGeom prst="rect">
                      <a:avLst/>
                    </a:prstGeom>
                    <a:ln/>
                  </pic:spPr>
                </pic:pic>
              </a:graphicData>
            </a:graphic>
          </wp:inline>
        </w:drawing>
      </w:r>
    </w:p>
    <w:p w14:paraId="07D887C3"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18DCF286"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p w14:paraId="6F50B85F" w14:textId="77777777" w:rsidR="00BD1001" w:rsidRPr="00054198" w:rsidRDefault="00BD1001">
      <w:pPr>
        <w:pBdr>
          <w:top w:val="nil"/>
          <w:left w:val="nil"/>
          <w:bottom w:val="nil"/>
          <w:right w:val="nil"/>
          <w:between w:val="nil"/>
        </w:pBdr>
        <w:spacing w:after="0" w:line="240" w:lineRule="auto"/>
        <w:rPr>
          <w:rFonts w:ascii="Comic Sans MS" w:eastAsia="Comic Sans MS" w:hAnsi="Comic Sans MS" w:cs="Comic Sans MS"/>
          <w:sz w:val="28"/>
          <w:szCs w:val="28"/>
        </w:rPr>
      </w:pPr>
    </w:p>
    <w:sectPr w:rsidR="00BD1001" w:rsidRPr="00054198">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EBE"/>
    <w:multiLevelType w:val="multilevel"/>
    <w:tmpl w:val="CF22FB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BB2966"/>
    <w:multiLevelType w:val="multilevel"/>
    <w:tmpl w:val="F37809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3C6735"/>
    <w:multiLevelType w:val="multilevel"/>
    <w:tmpl w:val="78EEA1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D30004F"/>
    <w:multiLevelType w:val="multilevel"/>
    <w:tmpl w:val="01325A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FEB3070"/>
    <w:multiLevelType w:val="multilevel"/>
    <w:tmpl w:val="DF94CF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7813B5F"/>
    <w:multiLevelType w:val="multilevel"/>
    <w:tmpl w:val="DA825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AD61541"/>
    <w:multiLevelType w:val="multilevel"/>
    <w:tmpl w:val="2618AB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E0D5F11"/>
    <w:multiLevelType w:val="multilevel"/>
    <w:tmpl w:val="A7B8AA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03B0A41"/>
    <w:multiLevelType w:val="multilevel"/>
    <w:tmpl w:val="2EC80834"/>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3DA700A9"/>
    <w:multiLevelType w:val="multilevel"/>
    <w:tmpl w:val="16C4D9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26A1B33"/>
    <w:multiLevelType w:val="multilevel"/>
    <w:tmpl w:val="6B24E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7B47B80"/>
    <w:multiLevelType w:val="multilevel"/>
    <w:tmpl w:val="6FD48C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8AE6FCC"/>
    <w:multiLevelType w:val="multilevel"/>
    <w:tmpl w:val="570CDD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BC63CB1"/>
    <w:multiLevelType w:val="multilevel"/>
    <w:tmpl w:val="1842FD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63C713D"/>
    <w:multiLevelType w:val="multilevel"/>
    <w:tmpl w:val="0812DC4A"/>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abstractNum w:abstractNumId="15" w15:restartNumberingAfterBreak="0">
    <w:nsid w:val="58E75BF9"/>
    <w:multiLevelType w:val="multilevel"/>
    <w:tmpl w:val="4DF2D3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5B40545"/>
    <w:multiLevelType w:val="multilevel"/>
    <w:tmpl w:val="BAB4418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7" w15:restartNumberingAfterBreak="0">
    <w:nsid w:val="6A2306B6"/>
    <w:multiLevelType w:val="multilevel"/>
    <w:tmpl w:val="514073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E312565"/>
    <w:multiLevelType w:val="multilevel"/>
    <w:tmpl w:val="B3764094"/>
    <w:lvl w:ilvl="0">
      <w:start w:val="1"/>
      <w:numFmt w:val="bullet"/>
      <w:pStyle w:val="Liste1"/>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1AB08A9"/>
    <w:multiLevelType w:val="multilevel"/>
    <w:tmpl w:val="D05AAB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D267C9D"/>
    <w:multiLevelType w:val="multilevel"/>
    <w:tmpl w:val="B5229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5"/>
  </w:num>
  <w:num w:numId="2">
    <w:abstractNumId w:val="18"/>
  </w:num>
  <w:num w:numId="3">
    <w:abstractNumId w:val="17"/>
  </w:num>
  <w:num w:numId="4">
    <w:abstractNumId w:val="2"/>
  </w:num>
  <w:num w:numId="5">
    <w:abstractNumId w:val="0"/>
  </w:num>
  <w:num w:numId="6">
    <w:abstractNumId w:val="7"/>
  </w:num>
  <w:num w:numId="7">
    <w:abstractNumId w:val="5"/>
  </w:num>
  <w:num w:numId="8">
    <w:abstractNumId w:val="9"/>
  </w:num>
  <w:num w:numId="9">
    <w:abstractNumId w:val="20"/>
  </w:num>
  <w:num w:numId="10">
    <w:abstractNumId w:val="10"/>
  </w:num>
  <w:num w:numId="11">
    <w:abstractNumId w:val="19"/>
  </w:num>
  <w:num w:numId="12">
    <w:abstractNumId w:val="14"/>
  </w:num>
  <w:num w:numId="13">
    <w:abstractNumId w:val="12"/>
  </w:num>
  <w:num w:numId="14">
    <w:abstractNumId w:val="4"/>
  </w:num>
  <w:num w:numId="15">
    <w:abstractNumId w:val="6"/>
  </w:num>
  <w:num w:numId="16">
    <w:abstractNumId w:val="3"/>
  </w:num>
  <w:num w:numId="17">
    <w:abstractNumId w:val="11"/>
  </w:num>
  <w:num w:numId="18">
    <w:abstractNumId w:val="1"/>
  </w:num>
  <w:num w:numId="19">
    <w:abstractNumId w:val="13"/>
  </w:num>
  <w:num w:numId="20">
    <w:abstractNumId w:val="1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001"/>
    <w:rsid w:val="00054198"/>
    <w:rsid w:val="00BD10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69A79"/>
  <w15:docId w15:val="{D0B67028-ADF6-4613-8179-0812119B6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557"/>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customStyle="1" w:styleId="Text">
    <w:name w:val="Text"/>
    <w:basedOn w:val="TextIt"/>
    <w:link w:val="TextCar"/>
    <w:qFormat/>
    <w:rsid w:val="00863112"/>
    <w:rPr>
      <w:i w:val="0"/>
      <w:iCs/>
    </w:rPr>
  </w:style>
  <w:style w:type="character" w:customStyle="1" w:styleId="TextCar">
    <w:name w:val="Text Car"/>
    <w:basedOn w:val="TextItCar"/>
    <w:link w:val="Text"/>
    <w:rsid w:val="00863112"/>
    <w:rPr>
      <w:rFonts w:ascii="Comic Sans MS" w:eastAsia="Times New Roman" w:hAnsi="Comic Sans MS" w:cstheme="majorHAnsi"/>
      <w:i w:val="0"/>
      <w:iCs/>
      <w:color w:val="000000"/>
      <w:sz w:val="24"/>
      <w:szCs w:val="24"/>
      <w:lang w:eastAsia="fr-FR"/>
    </w:rPr>
  </w:style>
  <w:style w:type="paragraph" w:customStyle="1" w:styleId="Sous-titre1">
    <w:name w:val="Sous-titre1"/>
    <w:basedOn w:val="Normal"/>
    <w:link w:val="SubTitleCar"/>
    <w:autoRedefine/>
    <w:qFormat/>
    <w:rsid w:val="00035557"/>
    <w:pPr>
      <w:jc w:val="center"/>
    </w:pPr>
    <w:rPr>
      <w:b/>
      <w:bCs/>
      <w:color w:val="806000" w:themeColor="accent4" w:themeShade="80"/>
      <w:sz w:val="32"/>
      <w:szCs w:val="32"/>
    </w:rPr>
  </w:style>
  <w:style w:type="character" w:customStyle="1" w:styleId="SubTitleCar">
    <w:name w:val="SubTitle Car"/>
    <w:basedOn w:val="Policepardfaut"/>
    <w:link w:val="Sous-titre1"/>
    <w:rsid w:val="00035557"/>
    <w:rPr>
      <w:b/>
      <w:bCs/>
      <w:color w:val="806000" w:themeColor="accent4" w:themeShade="80"/>
      <w:sz w:val="32"/>
      <w:szCs w:val="32"/>
    </w:rPr>
  </w:style>
  <w:style w:type="paragraph" w:customStyle="1" w:styleId="Titre10">
    <w:name w:val="Titre1"/>
    <w:basedOn w:val="Normal"/>
    <w:link w:val="TitleCar"/>
    <w:autoRedefine/>
    <w:qFormat/>
    <w:rsid w:val="0045403A"/>
    <w:pPr>
      <w:spacing w:after="0"/>
      <w:ind w:left="29"/>
    </w:pPr>
    <w:rPr>
      <w:color w:val="806000" w:themeColor="accent4" w:themeShade="80"/>
      <w:sz w:val="36"/>
      <w:szCs w:val="28"/>
    </w:rPr>
  </w:style>
  <w:style w:type="character" w:customStyle="1" w:styleId="TitleCar">
    <w:name w:val="Title Car"/>
    <w:basedOn w:val="Policepardfaut"/>
    <w:link w:val="Titre10"/>
    <w:rsid w:val="0045403A"/>
    <w:rPr>
      <w:rFonts w:ascii="Calibri" w:eastAsia="Calibri" w:hAnsi="Calibri" w:cs="Calibri"/>
      <w:color w:val="806000" w:themeColor="accent4" w:themeShade="80"/>
      <w:sz w:val="36"/>
      <w:szCs w:val="28"/>
      <w:lang w:eastAsia="fr-FR"/>
    </w:rPr>
  </w:style>
  <w:style w:type="paragraph" w:customStyle="1" w:styleId="TextIt">
    <w:name w:val="Text It"/>
    <w:basedOn w:val="NormalWeb"/>
    <w:link w:val="TextItCar"/>
    <w:autoRedefine/>
    <w:qFormat/>
    <w:rsid w:val="0014466C"/>
    <w:pPr>
      <w:spacing w:after="0" w:line="240" w:lineRule="auto"/>
    </w:pPr>
    <w:rPr>
      <w:rFonts w:ascii="Comic Sans MS" w:eastAsia="Times New Roman" w:hAnsi="Comic Sans MS" w:cstheme="majorHAnsi"/>
      <w:i/>
      <w:color w:val="000000"/>
    </w:rPr>
  </w:style>
  <w:style w:type="character" w:customStyle="1" w:styleId="TextItCar">
    <w:name w:val="Text It Car"/>
    <w:basedOn w:val="Policepardfaut"/>
    <w:link w:val="TextIt"/>
    <w:rsid w:val="0014466C"/>
    <w:rPr>
      <w:rFonts w:ascii="Comic Sans MS" w:eastAsia="Times New Roman" w:hAnsi="Comic Sans MS" w:cstheme="majorHAnsi"/>
      <w:i/>
      <w:color w:val="000000"/>
      <w:sz w:val="24"/>
      <w:szCs w:val="24"/>
      <w:lang w:eastAsia="fr-FR"/>
    </w:rPr>
  </w:style>
  <w:style w:type="paragraph" w:styleId="NormalWeb">
    <w:name w:val="Normal (Web)"/>
    <w:basedOn w:val="Normal"/>
    <w:uiPriority w:val="99"/>
    <w:semiHidden/>
    <w:unhideWhenUsed/>
    <w:rsid w:val="00035557"/>
    <w:rPr>
      <w:rFonts w:ascii="Times New Roman" w:hAnsi="Times New Roman" w:cs="Times New Roman"/>
      <w:sz w:val="24"/>
      <w:szCs w:val="24"/>
    </w:rPr>
  </w:style>
  <w:style w:type="paragraph" w:customStyle="1" w:styleId="Liste1">
    <w:name w:val="Liste1"/>
    <w:basedOn w:val="Normal"/>
    <w:link w:val="ListCar"/>
    <w:autoRedefine/>
    <w:qFormat/>
    <w:rsid w:val="00035557"/>
    <w:pPr>
      <w:numPr>
        <w:numId w:val="2"/>
      </w:numPr>
      <w:spacing w:after="3" w:line="300" w:lineRule="auto"/>
      <w:ind w:right="186"/>
      <w:jc w:val="both"/>
    </w:pPr>
    <w:rPr>
      <w:rFonts w:ascii="Comic Sans MS" w:eastAsia="Comic Sans MS" w:hAnsi="Comic Sans MS" w:cs="Comic Sans MS"/>
      <w:color w:val="0D0D0D"/>
    </w:rPr>
  </w:style>
  <w:style w:type="character" w:customStyle="1" w:styleId="ListCar">
    <w:name w:val="List Car"/>
    <w:basedOn w:val="Policepardfaut"/>
    <w:link w:val="Liste1"/>
    <w:rsid w:val="00035557"/>
    <w:rPr>
      <w:rFonts w:ascii="Comic Sans MS" w:eastAsia="Comic Sans MS" w:hAnsi="Comic Sans MS" w:cs="Comic Sans MS"/>
      <w:color w:val="0D0D0D"/>
    </w:rPr>
  </w:style>
  <w:style w:type="paragraph" w:customStyle="1" w:styleId="Catgorie">
    <w:name w:val="Catégorie"/>
    <w:basedOn w:val="Normal"/>
    <w:link w:val="CatgorieCar"/>
    <w:autoRedefine/>
    <w:qFormat/>
    <w:rsid w:val="00035557"/>
    <w:pPr>
      <w:spacing w:after="0"/>
      <w:ind w:left="29"/>
    </w:pPr>
    <w:rPr>
      <w:color w:val="806000"/>
      <w:sz w:val="32"/>
      <w:u w:val="single"/>
    </w:rPr>
  </w:style>
  <w:style w:type="character" w:customStyle="1" w:styleId="CatgorieCar">
    <w:name w:val="Catégorie Car"/>
    <w:basedOn w:val="Policepardfaut"/>
    <w:link w:val="Catgorie"/>
    <w:rsid w:val="00035557"/>
    <w:rPr>
      <w:rFonts w:ascii="Calibri" w:eastAsia="Calibri" w:hAnsi="Calibri" w:cs="Calibri"/>
      <w:color w:val="806000"/>
      <w:sz w:val="32"/>
      <w:u w:val="single"/>
    </w:rPr>
  </w:style>
  <w:style w:type="character" w:customStyle="1" w:styleId="author-a-z122zz67z8z75zaz82zz74zz81zs449z72zz75z1z65z">
    <w:name w:val="author-a-z122zz67z8z75zaz82zz74zz81zs449z72zz75z1z65z"/>
    <w:basedOn w:val="Policepardfaut"/>
    <w:rsid w:val="001F53BE"/>
  </w:style>
  <w:style w:type="character" w:customStyle="1" w:styleId="author-a-hbrz83zz82zk6nz86z33jc5e5">
    <w:name w:val="author-a-hbrz83zz82zk6nz86z33jc5e5"/>
    <w:basedOn w:val="Policepardfaut"/>
    <w:rsid w:val="001F53BE"/>
  </w:style>
  <w:style w:type="character" w:customStyle="1" w:styleId="author-a-j8z85zarmez77zz70zmz89z4oukz81z">
    <w:name w:val="author-a-j8z85zarmez77zz70zmz89z4oukz81z"/>
    <w:basedOn w:val="Policepardfaut"/>
    <w:rsid w:val="001F53BE"/>
  </w:style>
  <w:style w:type="character" w:customStyle="1" w:styleId="author-a-z84zz82zz81ziz88zz77zuoz122zz76zz69zz88zz73zz77zhz71z">
    <w:name w:val="author-a-z84zz82zz81ziz88zz77zuoz122zz76zz69zz88zz73zz77zhz71z"/>
    <w:basedOn w:val="Policepardfaut"/>
    <w:rsid w:val="001F53BE"/>
  </w:style>
  <w:style w:type="character" w:customStyle="1" w:styleId="author-a-5bjz66zv69z87zbiz67zz84zz84zpe5">
    <w:name w:val="author-a-5bjz66zv69z87zbiz67zz84zz84zpe5"/>
    <w:basedOn w:val="Policepardfaut"/>
    <w:rsid w:val="008562A3"/>
  </w:style>
  <w:style w:type="character" w:customStyle="1" w:styleId="author-a-z65zjmz80zz67zz65zjz70z6x1z81z0z84zz67zz86z">
    <w:name w:val="author-a-z65zjmz80zz67zz65zjz70z6x1z81z0z84zz67zz86z"/>
    <w:basedOn w:val="Policepardfaut"/>
    <w:rsid w:val="008562A3"/>
  </w:style>
  <w:style w:type="character" w:customStyle="1" w:styleId="author-a-2wz82z5z87zrmcz72z8z70zkz68zz77z4o">
    <w:name w:val="author-a-2wz82z5z87zrmcz72z8z70zkz68zz77z4o"/>
    <w:basedOn w:val="Policepardfaut"/>
    <w:rsid w:val="008562A3"/>
  </w:style>
  <w:style w:type="character" w:customStyle="1" w:styleId="author-a-z72zz80zz78znz84zcz81zgz81zwz82zz71zz70zuz87zz79z">
    <w:name w:val="author-a-z72zz80zz78znz84zcz81zgz81zwz82zz71zz70zuz87zz79z"/>
    <w:basedOn w:val="Policepardfaut"/>
    <w:rsid w:val="006A5D56"/>
  </w:style>
  <w:style w:type="character" w:customStyle="1" w:styleId="author-a-z81zlrgsz87zcvz69zvoz122zz67zz88zz70z3">
    <w:name w:val="author-a-z81zlrgsz87zcvz69zvoz122zz67zz88zz70z3"/>
    <w:basedOn w:val="Policepardfaut"/>
    <w:rsid w:val="003E18C5"/>
  </w:style>
  <w:style w:type="character" w:customStyle="1" w:styleId="author-a-z75zz89zz89zi1z78zrz76zz122zz90zrz78zz81zw1m">
    <w:name w:val="author-a-z75zz89zz89zi1z78zrz76zz122zz90zrz78zz81zw1m"/>
    <w:basedOn w:val="Policepardfaut"/>
    <w:rsid w:val="002E0ADC"/>
  </w:style>
  <w:style w:type="character" w:customStyle="1" w:styleId="author-a-aoz83zz89zz72zz80zkz69z2z84zfz81zz80zyz85za">
    <w:name w:val="author-a-aoz83zz89zz72zz80zkz69z2z84zfz81zz80zyz85za"/>
    <w:basedOn w:val="Policepardfaut"/>
    <w:rsid w:val="002E0ADC"/>
  </w:style>
  <w:style w:type="character" w:customStyle="1" w:styleId="author-a-z122zaz72zz66zz67zz83zz80zmz78z7f9z71zez85z2">
    <w:name w:val="author-a-z122zaz72zz66zz67zz83zz80zmz78z7f9z71zez85z2"/>
    <w:basedOn w:val="Policepardfaut"/>
    <w:rsid w:val="002E0ADC"/>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dz822V6eLrHRAIeyewweoaP7Tw==">AMUW2mUEkDQIjc/zrjB05j1eFYjkyVKUD4PrUGOgK8dc+oNIKzFhpiXW2dELx1lwB5cqi+8nC0nt/RMYSjKvoV2zo7NsjwOmw5Q0IUO9UVW6kTDEAWnzl3I=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823</Words>
  <Characters>4529</Characters>
  <Application>Microsoft Office Word</Application>
  <DocSecurity>0</DocSecurity>
  <Lines>37</Lines>
  <Paragraphs>10</Paragraphs>
  <ScaleCrop>false</ScaleCrop>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Millan</dc:creator>
  <cp:lastModifiedBy>MILLAN Romain</cp:lastModifiedBy>
  <cp:revision>3</cp:revision>
  <dcterms:created xsi:type="dcterms:W3CDTF">2021-11-15T10:30:00Z</dcterms:created>
  <dcterms:modified xsi:type="dcterms:W3CDTF">2022-01-09T10:00:00Z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0x01010071EAA1964D1A1D449C997885C869DDAD</vt:lpwstr>
  </property>
</Properties>
</file>