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keepNext w:val="false"/>
        <w:keepLines w:val="false"/>
        <w:spacing w:lineRule="auto" w:line="240" w:before="480" w:after="120"/>
        <w:rPr>
          <w:b/>
          <w:b/>
          <w:bCs/>
          <w:sz w:val="46"/>
          <w:szCs w:val="46"/>
        </w:rPr>
      </w:pPr>
      <w:bookmarkStart w:id="0" w:name="_7by7kdckkfdn"/>
      <w:bookmarkEnd w:id="0"/>
      <w:r>
        <w:rPr>
          <w:b/>
          <w:bCs/>
          <w:sz w:val="46"/>
          <w:szCs w:val="46"/>
        </w:rPr>
        <w:t>CHARTE GRAPHIQUE &amp; UX/UI — INNOV'EVENTS MANAGER</w:t>
      </w:r>
    </w:p>
    <w:p>
      <w:pPr>
        <w:pStyle w:val="Titre2"/>
        <w:keepNext w:val="false"/>
        <w:keepLines w:val="false"/>
        <w:spacing w:lineRule="auto" w:line="240" w:before="360" w:after="80"/>
        <w:rPr>
          <w:b/>
          <w:b/>
          <w:bCs/>
          <w:sz w:val="34"/>
          <w:szCs w:val="34"/>
        </w:rPr>
      </w:pPr>
      <w:bookmarkStart w:id="1" w:name="_9ov666tyz6ec"/>
      <w:bookmarkEnd w:id="1"/>
      <w:r>
        <w:rPr>
          <w:b/>
          <w:bCs/>
          <w:sz w:val="34"/>
          <w:szCs w:val="34"/>
        </w:rPr>
        <w:t>1. POSITIONNEMENT DE L'APPLICATION</w:t>
      </w:r>
    </w:p>
    <w:p>
      <w:pPr>
        <w:pStyle w:val="Normal1"/>
        <w:spacing w:lineRule="auto" w:line="240" w:before="240" w:after="240"/>
        <w:rPr/>
      </w:pPr>
      <w:r>
        <w:rPr/>
        <w:t>Innov'Events Manager est une solution SaaS (Software as a Service) de gestion événementielle spécifiquement conçue pour le secteur B2B. L'identité visuelle de la plateforme doit ainsi répondre à un double objectif :</w:t>
      </w:r>
    </w:p>
    <w:p>
      <w:pPr>
        <w:pStyle w:val="Normal1"/>
        <w:numPr>
          <w:ilvl w:val="0"/>
          <w:numId w:val="5"/>
        </w:numPr>
        <w:spacing w:lineRule="auto" w:line="240" w:before="240" w:afterAutospacing="0" w:after="0"/>
        <w:ind w:left="720" w:hanging="360"/>
        <w:rPr/>
      </w:pPr>
      <w:r>
        <w:rPr>
          <w:b/>
          <w:bCs/>
        </w:rPr>
        <w:t>Professionnalisme et Rigueur :</w:t>
      </w:r>
      <w:r>
        <w:rPr/>
        <w:t xml:space="preserve"> Rassurer l'utilisateur (administrateurs et clients corporate) sur le sérieux de l'application, l'organisation et la sécurité de ses données.</w:t>
      </w:r>
    </w:p>
    <w:p>
      <w:pPr>
        <w:pStyle w:val="Normal1"/>
        <w:numPr>
          <w:ilvl w:val="0"/>
          <w:numId w:val="5"/>
        </w:numPr>
        <w:spacing w:lineRule="auto" w:line="240" w:beforeAutospacing="0" w:before="0" w:after="240"/>
        <w:ind w:left="720" w:hanging="360"/>
        <w:rPr/>
      </w:pPr>
      <w:r>
        <w:rPr>
          <w:b/>
          <w:bCs/>
        </w:rPr>
        <w:t>Modernité et Accessibilité :</w:t>
      </w:r>
      <w:r>
        <w:rPr/>
        <w:t xml:space="preserve"> Proposer une interface épurée, fluide et intuitive, limitant la charge cognitive lors de la lecture d'indicateurs clés ou de la gestion de longs tableaux de prospects.</w:t>
      </w:r>
    </w:p>
    <w:p>
      <w:pPr>
        <w:pStyle w:val="Titre2"/>
        <w:keepNext w:val="false"/>
        <w:keepLines w:val="false"/>
        <w:spacing w:lineRule="auto" w:line="240" w:before="360" w:after="80"/>
        <w:rPr>
          <w:b/>
          <w:b/>
          <w:bCs/>
          <w:sz w:val="34"/>
          <w:szCs w:val="34"/>
        </w:rPr>
      </w:pPr>
      <w:bookmarkStart w:id="2" w:name="_sl6o8pxvonq7"/>
      <w:bookmarkEnd w:id="2"/>
      <w:r>
        <w:rPr>
          <w:b/>
          <w:bCs/>
          <w:sz w:val="34"/>
          <w:szCs w:val="34"/>
        </w:rPr>
        <w:t>2. PALETTE DE COULEURS (SYSTÈME HEXADÉCIMAL)</w:t>
      </w:r>
    </w:p>
    <w:p>
      <w:pPr>
        <w:pStyle w:val="Normal1"/>
        <w:spacing w:lineRule="auto" w:line="240" w:before="240" w:after="240"/>
        <w:rPr/>
      </w:pPr>
      <w:r>
        <w:rPr/>
        <w:t>Afin de maintenir une cohérence stricte entre la phase de conception sur Figma et l'intégration finale avec Bootstrap 5, la palette chromatique est normalisée autour de trois axes principaux :</w:t>
      </w:r>
    </w:p>
    <w:p>
      <w:pPr>
        <w:pStyle w:val="Titre3"/>
        <w:keepNext w:val="false"/>
        <w:keepLines w:val="false"/>
        <w:spacing w:lineRule="auto" w:line="240" w:before="280" w:after="80"/>
        <w:rPr>
          <w:b/>
          <w:b/>
          <w:bCs/>
          <w:color w:val="000000"/>
          <w:sz w:val="26"/>
          <w:szCs w:val="26"/>
        </w:rPr>
      </w:pPr>
      <w:bookmarkStart w:id="3" w:name="_tcvs6qskxpbp"/>
      <w:bookmarkEnd w:id="3"/>
      <w:r>
        <w:rPr>
          <w:b/>
          <w:bCs/>
          <w:color w:val="000000"/>
          <w:sz w:val="26"/>
          <w:szCs w:val="26"/>
        </w:rPr>
        <w:t>2.1. Couleur Dominante (Slate Dark)</w:t>
      </w:r>
    </w:p>
    <w:p>
      <w:pPr>
        <w:pStyle w:val="Normal1"/>
        <w:numPr>
          <w:ilvl w:val="0"/>
          <w:numId w:val="4"/>
        </w:numPr>
        <w:spacing w:lineRule="auto" w:line="240" w:before="240" w:afterAutospacing="0" w:after="0"/>
        <w:ind w:left="720" w:hanging="360"/>
        <w:rPr/>
      </w:pPr>
      <w:r>
        <w:rPr>
          <w:b/>
          <w:bCs/>
        </w:rPr>
        <w:t>Code Hexadécimal :</w:t>
      </w:r>
      <w:r>
        <w:rPr/>
        <w:t xml:space="preserve"> </w:t>
      </w:r>
      <w:r>
        <w:rPr>
          <w:rFonts w:eastAsia="Roboto Mono" w:cs="Roboto Mono" w:ascii="Roboto Mono" w:hAnsi="Roboto Mono"/>
          <w:color w:val="188038"/>
        </w:rPr>
        <w:t>#0F172A</w:t>
      </w:r>
    </w:p>
    <w:p>
      <w:pPr>
        <w:pStyle w:val="Normal1"/>
        <w:numPr>
          <w:ilvl w:val="0"/>
          <w:numId w:val="4"/>
        </w:numPr>
        <w:spacing w:lineRule="auto" w:line="240" w:beforeAutospacing="0" w:before="0" w:afterAutospacing="0" w:after="0"/>
        <w:ind w:left="720" w:hanging="360"/>
        <w:rPr/>
      </w:pPr>
      <w:r>
        <w:rPr>
          <w:b/>
          <w:bCs/>
        </w:rPr>
        <w:t>Usage :</w:t>
      </w:r>
      <w:r>
        <w:rPr/>
        <w:t xml:space="preserve"> Arrière-plan de la barre de navigation (Navbar), fond de la section d'accueil (Hero), et éléments structurels majeurs.</w:t>
      </w:r>
    </w:p>
    <w:p>
      <w:pPr>
        <w:pStyle w:val="Normal1"/>
        <w:numPr>
          <w:ilvl w:val="0"/>
          <w:numId w:val="4"/>
        </w:numPr>
        <w:spacing w:lineRule="auto" w:line="240" w:beforeAutospacing="0" w:before="0" w:after="240"/>
        <w:ind w:left="720" w:hanging="360"/>
        <w:rPr/>
      </w:pPr>
      <w:r>
        <w:rPr>
          <w:b/>
          <w:bCs/>
        </w:rPr>
        <w:t>Signification :</w:t>
      </w:r>
      <w:r>
        <w:rPr/>
        <w:t xml:space="preserve"> Le bleu nuit profond évoque la stabilité, la confiance et le sérieux institutionnel indispensable aux plateformes de gestion d'entreprise.</w:t>
      </w:r>
    </w:p>
    <w:p>
      <w:pPr>
        <w:pStyle w:val="Titre3"/>
        <w:keepNext w:val="false"/>
        <w:keepLines w:val="false"/>
        <w:spacing w:lineRule="auto" w:line="240" w:before="280" w:after="80"/>
        <w:rPr>
          <w:b/>
          <w:b/>
          <w:bCs/>
          <w:color w:val="000000"/>
          <w:sz w:val="26"/>
          <w:szCs w:val="26"/>
        </w:rPr>
      </w:pPr>
      <w:bookmarkStart w:id="4" w:name="_9mhj5exo6juh"/>
      <w:bookmarkEnd w:id="4"/>
      <w:r>
        <w:rPr>
          <w:b/>
          <w:bCs/>
          <w:color w:val="000000"/>
          <w:sz w:val="26"/>
          <w:szCs w:val="26"/>
        </w:rPr>
        <w:t>2.2. Couleur d'Action et d'Accent (Bleu Électrique)</w:t>
      </w:r>
    </w:p>
    <w:p>
      <w:pPr>
        <w:pStyle w:val="Normal1"/>
        <w:numPr>
          <w:ilvl w:val="0"/>
          <w:numId w:val="7"/>
        </w:numPr>
        <w:spacing w:lineRule="auto" w:line="240" w:before="240" w:afterAutospacing="0" w:after="0"/>
        <w:ind w:left="720" w:hanging="360"/>
        <w:rPr/>
      </w:pPr>
      <w:r>
        <w:rPr>
          <w:b/>
          <w:bCs/>
        </w:rPr>
        <w:t>Code Hexadécimal :</w:t>
      </w:r>
      <w:r>
        <w:rPr/>
        <w:t xml:space="preserve"> </w:t>
      </w:r>
      <w:r>
        <w:rPr>
          <w:rFonts w:eastAsia="Roboto Mono" w:cs="Roboto Mono" w:ascii="Roboto Mono" w:hAnsi="Roboto Mono"/>
          <w:color w:val="188038"/>
        </w:rPr>
        <w:t>#3B82F6</w:t>
      </w:r>
    </w:p>
    <w:p>
      <w:pPr>
        <w:pStyle w:val="Normal1"/>
        <w:numPr>
          <w:ilvl w:val="0"/>
          <w:numId w:val="7"/>
        </w:numPr>
        <w:spacing w:lineRule="auto" w:line="240" w:beforeAutospacing="0" w:before="0" w:afterAutospacing="0" w:after="0"/>
        <w:ind w:left="720" w:hanging="360"/>
        <w:rPr/>
      </w:pPr>
      <w:r>
        <w:rPr>
          <w:b/>
          <w:bCs/>
        </w:rPr>
        <w:t>Usage :</w:t>
      </w:r>
      <w:r>
        <w:rPr/>
        <w:t xml:space="preserve"> Boutons d'appel à l'action principaux (CTA - ex: "Demander un Devis"), liens hypertextes critiques, et états de survol interactifs.</w:t>
      </w:r>
    </w:p>
    <w:p>
      <w:pPr>
        <w:pStyle w:val="Normal1"/>
        <w:numPr>
          <w:ilvl w:val="0"/>
          <w:numId w:val="7"/>
        </w:numPr>
        <w:spacing w:lineRule="auto" w:line="240" w:beforeAutospacing="0" w:before="0" w:after="240"/>
        <w:ind w:left="720" w:hanging="360"/>
        <w:rPr/>
      </w:pPr>
      <w:r>
        <w:rPr>
          <w:b/>
          <w:bCs/>
        </w:rPr>
        <w:t>Signification :</w:t>
      </w:r>
      <w:r>
        <w:rPr/>
        <w:t xml:space="preserve"> Dynamique et lumineuse, cette teinte attire immédiatement l'œil sur les éléments de conversion et matérialise l'innovation technologique de la solution.</w:t>
      </w:r>
    </w:p>
    <w:p>
      <w:pPr>
        <w:pStyle w:val="Titre3"/>
        <w:keepNext w:val="false"/>
        <w:keepLines w:val="false"/>
        <w:spacing w:lineRule="auto" w:line="240" w:before="280" w:after="80"/>
        <w:rPr>
          <w:b/>
          <w:b/>
          <w:bCs/>
          <w:color w:val="000000"/>
          <w:sz w:val="26"/>
          <w:szCs w:val="26"/>
        </w:rPr>
      </w:pPr>
      <w:bookmarkStart w:id="5" w:name="_mqnozn6q0re3"/>
      <w:bookmarkEnd w:id="5"/>
      <w:r>
        <w:rPr>
          <w:b/>
          <w:bCs/>
          <w:color w:val="000000"/>
          <w:sz w:val="26"/>
          <w:szCs w:val="26"/>
        </w:rPr>
        <w:t>2.3. Couleurs Sémantiques (Statuts)</w:t>
      </w:r>
    </w:p>
    <w:p>
      <w:pPr>
        <w:pStyle w:val="Normal1"/>
        <w:spacing w:lineRule="auto" w:line="240" w:before="240" w:after="240"/>
        <w:rPr/>
      </w:pPr>
      <w:r>
        <w:rPr/>
        <w:t>Pour faciliter la lecture rapide des données du Back-Office par Chloé, un code couleur strict est appliqué aux statuts des requêtes :</w:t>
      </w:r>
    </w:p>
    <w:p>
      <w:pPr>
        <w:pStyle w:val="Normal1"/>
        <w:numPr>
          <w:ilvl w:val="0"/>
          <w:numId w:val="6"/>
        </w:numPr>
        <w:spacing w:lineRule="auto" w:line="240" w:before="240" w:afterAutospacing="0" w:after="0"/>
        <w:ind w:left="720" w:hanging="360"/>
        <w:rPr/>
      </w:pPr>
      <w:r>
        <w:rPr>
          <w:b/>
          <w:bCs/>
        </w:rPr>
        <w:t>Succès / Validé (Vert Émeraude) :</w:t>
      </w:r>
      <w:r>
        <w:rPr/>
        <w:t xml:space="preserve"> </w:t>
      </w:r>
      <w:r>
        <w:rPr>
          <w:rFonts w:eastAsia="Roboto Mono" w:cs="Roboto Mono" w:ascii="Roboto Mono" w:hAnsi="Roboto Mono"/>
          <w:color w:val="188038"/>
        </w:rPr>
        <w:t>#10B981</w:t>
      </w:r>
      <w:r>
        <w:rPr/>
        <w:t xml:space="preserve"> (Utilisé pour les devis acceptés et projets confirmés).</w:t>
      </w:r>
    </w:p>
    <w:p>
      <w:pPr>
        <w:pStyle w:val="Normal1"/>
        <w:numPr>
          <w:ilvl w:val="0"/>
          <w:numId w:val="6"/>
        </w:numPr>
        <w:spacing w:lineRule="auto" w:line="240" w:beforeAutospacing="0" w:before="0" w:afterAutospacing="0" w:after="0"/>
        <w:ind w:left="720" w:hanging="360"/>
        <w:rPr/>
      </w:pPr>
      <w:r>
        <w:rPr>
          <w:b/>
          <w:bCs/>
        </w:rPr>
        <w:t>Alerte / En Attente (Ambre) :</w:t>
      </w:r>
      <w:r>
        <w:rPr/>
        <w:t xml:space="preserve"> </w:t>
      </w:r>
      <w:r>
        <w:rPr>
          <w:rFonts w:eastAsia="Roboto Mono" w:cs="Roboto Mono" w:ascii="Roboto Mono" w:hAnsi="Roboto Mono"/>
          <w:color w:val="188038"/>
        </w:rPr>
        <w:t>#F59E0B</w:t>
      </w:r>
      <w:r>
        <w:rPr/>
        <w:t xml:space="preserve"> (Utilisé pour les nouvelles demandes de prospects à traiter).</w:t>
      </w:r>
    </w:p>
    <w:p>
      <w:pPr>
        <w:pStyle w:val="Normal1"/>
        <w:numPr>
          <w:ilvl w:val="0"/>
          <w:numId w:val="6"/>
        </w:numPr>
        <w:spacing w:lineRule="auto" w:line="240" w:beforeAutospacing="0" w:before="0" w:after="240"/>
        <w:ind w:left="720" w:hanging="360"/>
        <w:rPr/>
      </w:pPr>
      <w:r>
        <w:rPr>
          <w:b/>
          <w:bCs/>
        </w:rPr>
        <w:t>Danger / Annulé (Rouge Corail) :</w:t>
      </w:r>
      <w:r>
        <w:rPr/>
        <w:t xml:space="preserve"> </w:t>
      </w:r>
      <w:r>
        <w:rPr>
          <w:rFonts w:eastAsia="Roboto Mono" w:cs="Roboto Mono" w:ascii="Roboto Mono" w:hAnsi="Roboto Mono"/>
          <w:color w:val="188038"/>
        </w:rPr>
        <w:t>#EF4444</w:t>
      </w:r>
      <w:r>
        <w:rPr/>
        <w:t xml:space="preserve"> (Utilisé pour les actions de suppression, les alertes de sécurité ou la déconnexion).</w:t>
      </w:r>
    </w:p>
    <w:p>
      <w:pPr>
        <w:pStyle w:val="Titre2"/>
        <w:keepNext w:val="false"/>
        <w:keepLines w:val="false"/>
        <w:spacing w:lineRule="auto" w:line="240" w:before="360" w:after="80"/>
        <w:rPr>
          <w:b/>
          <w:b/>
          <w:bCs/>
          <w:sz w:val="34"/>
          <w:szCs w:val="34"/>
        </w:rPr>
      </w:pPr>
      <w:bookmarkStart w:id="6" w:name="_29emdcdcnv38"/>
      <w:bookmarkEnd w:id="6"/>
      <w:r>
        <w:rPr>
          <w:b/>
          <w:bCs/>
          <w:sz w:val="34"/>
          <w:szCs w:val="34"/>
        </w:rPr>
        <w:t>3. TYPOGRAPHIE ET HIÉRARCHIE VISUELLE</w:t>
      </w:r>
    </w:p>
    <w:p>
      <w:pPr>
        <w:pStyle w:val="Normal1"/>
        <w:numPr>
          <w:ilvl w:val="0"/>
          <w:numId w:val="2"/>
        </w:numPr>
        <w:spacing w:lineRule="auto" w:line="240" w:before="240" w:afterAutospacing="0" w:after="0"/>
        <w:ind w:left="720" w:hanging="360"/>
        <w:rPr/>
      </w:pPr>
      <w:r>
        <w:rPr>
          <w:b/>
          <w:bCs/>
        </w:rPr>
        <w:t>Police de Caractères Unique :</w:t>
      </w:r>
      <w:r>
        <w:rPr/>
        <w:t xml:space="preserve"> </w:t>
      </w:r>
      <w:r>
        <w:rPr>
          <w:rFonts w:eastAsia="Roboto Mono" w:cs="Roboto Mono" w:ascii="Roboto Mono" w:hAnsi="Roboto Mono"/>
          <w:color w:val="188038"/>
        </w:rPr>
        <w:t>Inter</w:t>
      </w:r>
      <w:r>
        <w:rPr/>
        <w:t>, system-ui, sans-serif.</w:t>
      </w:r>
    </w:p>
    <w:p>
      <w:pPr>
        <w:pStyle w:val="Normal1"/>
        <w:numPr>
          <w:ilvl w:val="0"/>
          <w:numId w:val="2"/>
        </w:numPr>
        <w:spacing w:lineRule="auto" w:line="240" w:beforeAutospacing="0" w:before="0" w:after="240"/>
        <w:ind w:left="720" w:hanging="360"/>
        <w:rPr/>
      </w:pPr>
      <w:r>
        <w:rPr>
          <w:b/>
          <w:bCs/>
        </w:rPr>
        <w:t>Justification :</w:t>
      </w:r>
      <w:r>
        <w:rPr/>
        <w:t xml:space="preserve"> Le choix s'est porté sur une typographie géométrique Sans-Serif (sans empattement). Sa neutralité et son excellent rendu sur écran garantissent une lisibilité optimale, même sur les textes de petite taille au sein des tableaux de bord administratifs (KPIs, listings).</w:t>
      </w:r>
    </w:p>
    <w:p>
      <w:pPr>
        <w:pStyle w:val="Titre3"/>
        <w:keepNext w:val="false"/>
        <w:keepLines w:val="false"/>
        <w:spacing w:lineRule="auto" w:line="240" w:before="280" w:after="80"/>
        <w:rPr>
          <w:b/>
          <w:b/>
          <w:bCs/>
          <w:color w:val="000000"/>
          <w:sz w:val="26"/>
          <w:szCs w:val="26"/>
        </w:rPr>
      </w:pPr>
      <w:bookmarkStart w:id="7" w:name="_52cqepozcbfr"/>
      <w:bookmarkEnd w:id="7"/>
      <w:r>
        <w:rPr>
          <w:b/>
          <w:bCs/>
          <w:color w:val="000000"/>
          <w:sz w:val="26"/>
          <w:szCs w:val="26"/>
        </w:rPr>
        <w:t>Échelle de Titrages :</w:t>
      </w:r>
    </w:p>
    <w:p>
      <w:pPr>
        <w:pStyle w:val="Normal1"/>
        <w:numPr>
          <w:ilvl w:val="0"/>
          <w:numId w:val="3"/>
        </w:numPr>
        <w:spacing w:lineRule="auto" w:line="240" w:before="240" w:afterAutospacing="0" w:after="0"/>
        <w:ind w:left="720" w:hanging="360"/>
        <w:rPr/>
      </w:pPr>
      <w:r>
        <w:rPr>
          <w:b/>
          <w:bCs/>
        </w:rPr>
        <w:t>Titres Principaux (H1) :</w:t>
      </w:r>
      <w:r>
        <w:rPr/>
        <w:t xml:space="preserve"> Poids </w:t>
      </w:r>
      <w:r>
        <w:rPr>
          <w:i/>
          <w:iCs/>
        </w:rPr>
        <w:t>Extra-Bold</w:t>
      </w:r>
      <w:r>
        <w:rPr/>
        <w:t xml:space="preserve"> (800) ou </w:t>
      </w:r>
      <w:r>
        <w:rPr>
          <w:i/>
          <w:iCs/>
        </w:rPr>
        <w:t>Bolder</w:t>
      </w:r>
      <w:r>
        <w:rPr/>
        <w:t>, traitement en majuscules (Uppercase) pour un impact fort dans les sections de présentation.</w:t>
      </w:r>
    </w:p>
    <w:p>
      <w:pPr>
        <w:pStyle w:val="Normal1"/>
        <w:numPr>
          <w:ilvl w:val="0"/>
          <w:numId w:val="3"/>
        </w:numPr>
        <w:spacing w:lineRule="auto" w:line="240" w:beforeAutospacing="0" w:before="0" w:afterAutospacing="0" w:after="0"/>
        <w:ind w:left="720" w:hanging="360"/>
        <w:rPr/>
      </w:pPr>
      <w:r>
        <w:rPr>
          <w:b/>
          <w:bCs/>
        </w:rPr>
        <w:t>Titres de Sections (H2/H3) :</w:t>
      </w:r>
      <w:r>
        <w:rPr/>
        <w:t xml:space="preserve"> Poids </w:t>
      </w:r>
      <w:r>
        <w:rPr>
          <w:i/>
          <w:iCs/>
        </w:rPr>
        <w:t>Bold</w:t>
      </w:r>
      <w:r>
        <w:rPr/>
        <w:t xml:space="preserve"> (700), couleur sombre unie pour structurer le contenu.</w:t>
      </w:r>
    </w:p>
    <w:p>
      <w:pPr>
        <w:pStyle w:val="Normal1"/>
        <w:numPr>
          <w:ilvl w:val="0"/>
          <w:numId w:val="3"/>
        </w:numPr>
        <w:spacing w:lineRule="auto" w:line="240" w:beforeAutospacing="0" w:before="0" w:after="240"/>
        <w:ind w:left="720" w:hanging="360"/>
        <w:rPr/>
      </w:pPr>
      <w:r>
        <w:rPr>
          <w:b/>
          <w:bCs/>
        </w:rPr>
        <w:t>Corps de Texte (Body) :</w:t>
      </w:r>
      <w:r>
        <w:rPr/>
        <w:t xml:space="preserve"> Poids </w:t>
      </w:r>
      <w:r>
        <w:rPr>
          <w:i/>
          <w:iCs/>
        </w:rPr>
        <w:t>Regular</w:t>
      </w:r>
      <w:r>
        <w:rPr/>
        <w:t xml:space="preserve"> (400), couleur volontairement adoucie (</w:t>
      </w:r>
      <w:r>
        <w:rPr>
          <w:rFonts w:eastAsia="Roboto Mono" w:cs="Roboto Mono" w:ascii="Roboto Mono" w:hAnsi="Roboto Mono"/>
          <w:color w:val="188038"/>
        </w:rPr>
        <w:t>#334155</w:t>
      </w:r>
      <w:r>
        <w:rPr/>
        <w:t xml:space="preserve"> ou </w:t>
      </w:r>
      <w:r>
        <w:rPr>
          <w:rFonts w:eastAsia="Roboto Mono" w:cs="Roboto Mono" w:ascii="Roboto Mono" w:hAnsi="Roboto Mono"/>
          <w:color w:val="188038"/>
        </w:rPr>
        <w:t>#475569</w:t>
      </w:r>
      <w:r>
        <w:rPr/>
        <w:t>) pour limiter le contraste agressif du noir pur sur fond blanc et réduire la fatigue visuelle.</w:t>
      </w:r>
    </w:p>
    <w:p>
      <w:pPr>
        <w:pStyle w:val="Titre2"/>
        <w:keepNext w:val="false"/>
        <w:keepLines w:val="false"/>
        <w:spacing w:lineRule="auto" w:line="240" w:before="360" w:after="80"/>
        <w:rPr>
          <w:b/>
          <w:b/>
          <w:bCs/>
          <w:sz w:val="34"/>
          <w:szCs w:val="34"/>
        </w:rPr>
      </w:pPr>
      <w:bookmarkStart w:id="8" w:name="_xe1yfoscfqo6"/>
      <w:bookmarkEnd w:id="8"/>
      <w:r>
        <w:rPr>
          <w:b/>
          <w:bCs/>
          <w:sz w:val="34"/>
          <w:szCs w:val="34"/>
        </w:rPr>
        <w:t>4. ICONOGRAPHIE ET COHÉRENCE UX</w:t>
      </w:r>
    </w:p>
    <w:p>
      <w:pPr>
        <w:pStyle w:val="Normal1"/>
        <w:numPr>
          <w:ilvl w:val="0"/>
          <w:numId w:val="1"/>
        </w:numPr>
        <w:spacing w:lineRule="auto" w:line="240" w:before="240" w:afterAutospacing="0" w:after="0"/>
        <w:ind w:left="720" w:hanging="360"/>
        <w:rPr/>
      </w:pPr>
      <w:r>
        <w:rPr>
          <w:b/>
          <w:bCs/>
        </w:rPr>
        <w:t>Catalogue de Référence :</w:t>
      </w:r>
      <w:r>
        <w:rPr/>
        <w:t xml:space="preserve"> </w:t>
      </w:r>
      <w:r>
        <w:rPr>
          <w:rFonts w:eastAsia="Roboto Mono" w:cs="Roboto Mono" w:ascii="Roboto Mono" w:hAnsi="Roboto Mono"/>
          <w:color w:val="188038"/>
        </w:rPr>
        <w:t>Bootstrap Icons</w:t>
      </w:r>
      <w:r>
        <w:rPr/>
        <w:t xml:space="preserve"> (v1.11.0).</w:t>
      </w:r>
    </w:p>
    <w:p>
      <w:pPr>
        <w:pStyle w:val="Normal1"/>
        <w:numPr>
          <w:ilvl w:val="0"/>
          <w:numId w:val="1"/>
        </w:numPr>
        <w:spacing w:lineRule="auto" w:line="240" w:beforeAutospacing="0" w:before="0" w:afterAutospacing="0" w:after="0"/>
        <w:ind w:left="720" w:hanging="360"/>
        <w:rPr/>
      </w:pPr>
      <w:r>
        <w:rPr>
          <w:b/>
          <w:bCs/>
        </w:rPr>
        <w:t>Principe d'usage :</w:t>
      </w:r>
      <w:r>
        <w:rPr/>
        <w:t xml:space="preserve"> Aucun élément textuel majeur ne doit être isolé dans le Back-Office ou les formulaires. L'utilisation d'icônes standardisées permet une navigation universelle :</w:t>
      </w:r>
    </w:p>
    <w:p>
      <w:pPr>
        <w:pStyle w:val="Normal1"/>
        <w:numPr>
          <w:ilvl w:val="1"/>
          <w:numId w:val="1"/>
        </w:numPr>
        <w:spacing w:lineRule="auto" w:line="240" w:beforeAutospacing="0" w:before="0" w:afterAutospacing="0" w:after="0"/>
        <w:ind w:left="1440" w:hanging="360"/>
        <w:rPr/>
      </w:pPr>
      <w:r>
        <w:rPr>
          <w:rFonts w:eastAsia="Roboto Mono" w:cs="Roboto Mono" w:ascii="Roboto Mono" w:hAnsi="Roboto Mono"/>
          <w:color w:val="188038"/>
        </w:rPr>
        <w:t>bi-building-gear</w:t>
      </w:r>
      <w:r>
        <w:rPr/>
        <w:t xml:space="preserve"> ou </w:t>
      </w:r>
      <w:r>
        <w:rPr>
          <w:rFonts w:eastAsia="Roboto Mono" w:cs="Roboto Mono" w:ascii="Roboto Mono" w:hAnsi="Roboto Mono"/>
          <w:color w:val="188038"/>
        </w:rPr>
        <w:t>bi-building</w:t>
      </w:r>
      <w:r>
        <w:rPr/>
        <w:t xml:space="preserve"> : Repère visuel exclusif associé aux Séminaires.</w:t>
      </w:r>
    </w:p>
    <w:p>
      <w:pPr>
        <w:pStyle w:val="Normal1"/>
        <w:numPr>
          <w:ilvl w:val="1"/>
          <w:numId w:val="1"/>
        </w:numPr>
        <w:spacing w:lineRule="auto" w:line="240" w:beforeAutospacing="0" w:before="0" w:afterAutospacing="0" w:after="0"/>
        <w:ind w:left="1440" w:hanging="360"/>
        <w:rPr/>
      </w:pPr>
      <w:r>
        <w:rPr>
          <w:rFonts w:eastAsia="Roboto Mono" w:cs="Roboto Mono" w:ascii="Roboto Mono" w:hAnsi="Roboto Mono"/>
          <w:color w:val="188038"/>
        </w:rPr>
        <w:t>bi-cup-straw</w:t>
      </w:r>
      <w:r>
        <w:rPr/>
        <w:t xml:space="preserve"> ou </w:t>
      </w:r>
      <w:r>
        <w:rPr>
          <w:rFonts w:eastAsia="Roboto Mono" w:cs="Roboto Mono" w:ascii="Roboto Mono" w:hAnsi="Roboto Mono"/>
          <w:color w:val="188038"/>
        </w:rPr>
        <w:t>bi-calendar4-event</w:t>
      </w:r>
      <w:r>
        <w:rPr/>
        <w:t xml:space="preserve"> : Repère visuel exclusif associé aux Soirées d'entreprise.</w:t>
      </w:r>
    </w:p>
    <w:p>
      <w:pPr>
        <w:pStyle w:val="Normal1"/>
        <w:numPr>
          <w:ilvl w:val="1"/>
          <w:numId w:val="1"/>
        </w:numPr>
        <w:spacing w:lineRule="auto" w:line="240" w:beforeAutospacing="0" w:before="0" w:afterAutospacing="0" w:after="0"/>
        <w:ind w:left="1440" w:hanging="360"/>
        <w:rPr/>
      </w:pPr>
      <w:r>
        <w:rPr>
          <w:rFonts w:eastAsia="Roboto Mono" w:cs="Roboto Mono" w:ascii="Roboto Mono" w:hAnsi="Roboto Mono"/>
          <w:color w:val="188038"/>
        </w:rPr>
        <w:t>bi-megaphone</w:t>
      </w:r>
      <w:r>
        <w:rPr/>
        <w:t xml:space="preserve"> ou </w:t>
      </w:r>
      <w:r>
        <w:rPr>
          <w:rFonts w:eastAsia="Roboto Mono" w:cs="Roboto Mono" w:ascii="Roboto Mono" w:hAnsi="Roboto Mono"/>
          <w:color w:val="188038"/>
        </w:rPr>
        <w:t>bi-rocket-takeoff</w:t>
      </w:r>
      <w:r>
        <w:rPr/>
        <w:t xml:space="preserve"> : Repère visuel associé aux Lancements de produit et actions d'engagement.</w:t>
      </w:r>
    </w:p>
    <w:p>
      <w:pPr>
        <w:pStyle w:val="Normal1"/>
        <w:numPr>
          <w:ilvl w:val="0"/>
          <w:numId w:val="1"/>
        </w:numPr>
        <w:spacing w:lineRule="auto" w:line="240" w:beforeAutospacing="0" w:before="0" w:after="240"/>
        <w:ind w:left="720" w:hanging="360"/>
        <w:rPr/>
      </w:pPr>
      <w:r>
        <w:rPr>
          <w:b/>
          <w:bCs/>
        </w:rPr>
        <w:t>Ratios des Conteneurs :</w:t>
      </w:r>
      <w:r>
        <w:rPr/>
        <w:t xml:space="preserve"> Pour respecter la mise en page en zig-zag validée sur le wireframe de la Landing Page, les blocs de prévisualisation (images/illustrations) exploitent le ratio natif </w:t>
      </w:r>
      <w:r>
        <w:rPr>
          <w:b/>
          <w:bCs/>
        </w:rPr>
        <w:t>16:9</w:t>
      </w:r>
      <w:r>
        <w:rPr/>
        <w:t xml:space="preserve"> de Bootstrap. Cela garantit un alignement et des hauteurs rigoureusement identiques entre chaque ligne de contenu sur tous les types d'écrans (Responsive Design).</w:t>
      </w:r>
    </w:p>
    <w:p>
      <w:pPr>
        <w:pStyle w:val="Titre2"/>
        <w:keepNext w:val="false"/>
        <w:keepLines w:val="false"/>
        <w:spacing w:lineRule="auto" w:line="240" w:before="360" w:after="80"/>
        <w:rPr>
          <w:b/>
          <w:b/>
          <w:bCs/>
          <w:sz w:val="34"/>
          <w:szCs w:val="34"/>
        </w:rPr>
      </w:pPr>
      <w:bookmarkStart w:id="9" w:name="_8tusfwlg5p38"/>
      <w:bookmarkEnd w:id="9"/>
      <w:r>
        <w:rPr>
          <w:b/>
          <w:bCs/>
          <w:sz w:val="34"/>
          <w:szCs w:val="34"/>
        </w:rPr>
        <w:t xml:space="preserve">5. MAQUETTES ET WIREFRAMES DE L'INTERFACE (CONCEPTION UX/UI) </w:t>
      </w:r>
    </w:p>
    <w:p>
      <w:pPr>
        <w:pStyle w:val="Normal1"/>
        <w:rPr/>
      </w:pPr>
      <w:r>
        <w:rPr/>
      </w:r>
    </w:p>
    <w:p>
      <w:pPr>
        <w:pStyle w:val="Normal1"/>
        <w:rPr/>
      </w:pPr>
      <w:r>
        <w:rPr/>
        <w:t>Afin de valider l'ergonomie et le parcours utilisateur (User Journey) avant la phase de développement, trois écrans clés de l'application Innov'Events Manager ont été maquettés en basse et moyenne fidélité sur Figma. Ces interfaces respectent strictement les contraintes techniques du framework Bootstrap 5 et l'agencement des flux sémantiques.</w:t>
      </w:r>
    </w:p>
    <w:p>
      <w:pPr>
        <w:pStyle w:val="Normal1"/>
        <w:rPr/>
      </w:pPr>
      <w:r>
        <w:rPr/>
      </w:r>
    </w:p>
    <w:p>
      <w:pPr>
        <w:pStyle w:val="Titre3"/>
        <w:rPr>
          <w:b/>
          <w:b/>
          <w:bCs/>
          <w:color w:val="000000"/>
          <w:sz w:val="26"/>
          <w:szCs w:val="26"/>
        </w:rPr>
      </w:pPr>
      <w:bookmarkStart w:id="10" w:name="_sx952bc7k1xm"/>
      <w:bookmarkEnd w:id="10"/>
      <w:r>
        <w:rPr>
          <w:b/>
          <w:bCs/>
          <w:color w:val="000000"/>
          <w:sz w:val="26"/>
          <w:szCs w:val="26"/>
        </w:rPr>
        <w:t>5.1. Écran 1 — La Page d'Accueil (Landing Page Publique)</w:t>
      </w:r>
    </w:p>
    <w:p>
      <w:pPr>
        <w:pStyle w:val="Normal1"/>
        <w:rPr/>
      </w:pPr>
      <w:r>
        <w:rPr/>
        <w:t>Cet écran pose les bases de l'identité visuelle de la marque avec une section Hero immersive et sombre (#0F172A). Elle intègre la structure en "zig-zag" alternant visuels 16:9 et descriptifs textuels pour présenter les trois expertises métiers, et se conclut par une section de réassurance pour les partenaires.</w:t>
      </w:r>
    </w:p>
    <w:p>
      <w:pPr>
        <w:pStyle w:val="Normal1"/>
        <w:rPr/>
      </w:pPr>
      <w:r>
        <w:rPr/>
      </w:r>
    </w:p>
    <w:p>
      <w:pPr>
        <w:pStyle w:val="Normal1"/>
        <w:rPr/>
      </w:pPr>
      <w:r>
        <w:rPr/>
      </w:r>
    </w:p>
    <w:p>
      <w:pPr>
        <w:pStyle w:val="Normal1"/>
        <w:rPr/>
      </w:pPr>
      <w:r>
        <w:rPr/>
      </w:r>
    </w:p>
    <w:p>
      <w:pPr>
        <w:pStyle w:val="Titre3"/>
        <w:rPr>
          <w:b/>
          <w:b/>
          <w:bCs/>
          <w:color w:val="000000"/>
        </w:rPr>
      </w:pPr>
      <w:bookmarkStart w:id="11" w:name="_sibqz5ym4sju"/>
      <w:bookmarkEnd w:id="11"/>
      <w:r>
        <w:rPr>
          <w:b/>
          <w:bCs/>
          <w:color w:val="000000"/>
        </w:rPr>
        <w:t>5.2. Écran 2 — Le Formulaire de Qualification (Demande de Devis)</w:t>
      </w:r>
    </w:p>
    <w:p>
      <w:pPr>
        <w:pStyle w:val="Normal1"/>
        <w:rPr/>
      </w:pPr>
      <w:r>
        <w:rPr/>
        <w:t>Cet écran structure le tunnel de conversion des prospects. Divisé en une section d'introduction claire et un formulaire standardisé, il collecte les informations indispensables au traitement métier (coordonnées, type d'événement, volume de participants et détails du projet) tout en intégrant une mention d'information RGPD.</w:t>
      </w:r>
    </w:p>
    <w:p>
      <w:pPr>
        <w:pStyle w:val="Normal1"/>
        <w:rPr/>
      </w:pPr>
      <w:r>
        <w:rPr/>
      </w:r>
    </w:p>
    <w:p>
      <w:pPr>
        <w:pStyle w:val="Titre3"/>
        <w:rPr>
          <w:b/>
          <w:b/>
          <w:bCs/>
        </w:rPr>
      </w:pPr>
      <w:bookmarkStart w:id="12" w:name="_vtv19j4ib62b"/>
      <w:bookmarkEnd w:id="12"/>
      <w:r>
        <w:rPr>
          <w:b/>
          <w:bCs/>
        </w:rPr>
        <w:t>5.3. Écran 3 — Le Tableau de Bord Administratif (Back-Office de Chloé)</w:t>
      </w:r>
    </w:p>
    <w:p>
      <w:pPr>
        <w:pStyle w:val="Normal1"/>
        <w:rPr/>
      </w:pPr>
      <w:r>
        <w:rPr/>
        <w:t>Cet écran présente l'interface d'administration en deux colonnes (Sidebar de navigation fixe à gauche et zone de contenu dynamique à droite). Il met en valeur les indicateurs clés de performance (KPIs) sous forme de cartes d'analyse graphiques et intègre le tableau SQL de suivi opérationnel des prospects, permettant une gestion simplifiée des statuts par Chloé.</w:t>
      </w:r>
    </w:p>
    <w:p>
      <w:pPr>
        <w:pStyle w:val="Normal1"/>
        <w:rPr/>
      </w:pPr>
      <w:r>
        <w:rPr/>
      </w:r>
    </w:p>
    <w:p>
      <w:pPr>
        <w:pStyle w:val="Normal1"/>
        <w:rPr/>
      </w:pPr>
      <w:r>
        <w:rPr/>
      </w:r>
    </w:p>
    <w:p>
      <w:pPr>
        <w:pStyle w:val="Normal1"/>
        <w:rPr/>
      </w:pPr>
      <w:r>
        <w:rPr/>
        <w:drawing>
          <wp:inline distT="0" distB="0" distL="0" distR="0">
            <wp:extent cx="4462780" cy="9253220"/>
            <wp:effectExtent l="0" t="0" r="0" b="0"/>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2"/>
                    <a:stretch>
                      <a:fillRect/>
                    </a:stretch>
                  </pic:blipFill>
                  <pic:spPr bwMode="auto">
                    <a:xfrm>
                      <a:off x="0" y="0"/>
                      <a:ext cx="4462780" cy="9253220"/>
                    </a:xfrm>
                    <a:prstGeom prst="rect">
                      <a:avLst/>
                    </a:prstGeom>
                  </pic:spPr>
                </pic:pic>
              </a:graphicData>
            </a:graphic>
          </wp:inline>
        </w:drawing>
      </w:r>
    </w:p>
    <w:p>
      <w:pPr>
        <w:pStyle w:val="Normal1"/>
        <w:rPr/>
      </w:pPr>
      <w:r>
        <w:rPr/>
        <w:drawing>
          <wp:inline distT="0" distB="0" distL="0" distR="0">
            <wp:extent cx="5731510" cy="897890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5731510" cy="8978900"/>
                    </a:xfrm>
                    <a:prstGeom prst="rect">
                      <a:avLst/>
                    </a:prstGeom>
                  </pic:spPr>
                </pic:pic>
              </a:graphicData>
            </a:graphic>
          </wp:inline>
        </w:drawing>
      </w:r>
    </w:p>
    <w:p>
      <w:pPr>
        <w:pStyle w:val="Normal1"/>
        <w:rPr/>
      </w:pPr>
      <w:r>
        <w:rPr/>
        <w:drawing>
          <wp:inline distT="0" distB="0" distL="0" distR="0">
            <wp:extent cx="5731510" cy="11938000"/>
            <wp:effectExtent l="0" t="0" r="0" b="0"/>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4"/>
                    <a:stretch>
                      <a:fillRect/>
                    </a:stretch>
                  </pic:blipFill>
                  <pic:spPr bwMode="auto">
                    <a:xfrm>
                      <a:off x="0" y="0"/>
                      <a:ext cx="5731510" cy="11938000"/>
                    </a:xfrm>
                    <a:prstGeom prst="rect">
                      <a:avLst/>
                    </a:prstGeom>
                  </pic:spPr>
                </pic:pic>
              </a:graphicData>
            </a:graphic>
          </wp:inline>
        </w:drawing>
      </w:r>
    </w:p>
    <w:sectPr>
      <w:type w:val="nextPage"/>
      <w:pgSz w:w="11906" w:h="16838"/>
      <w:pgMar w:left="1440" w:right="1440" w:header="0" w:top="1440" w:footer="0" w:bottom="1440"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Sans">
    <w:altName w:val="Arial"/>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Roboto Mono">
    <w:charset w:val="00"/>
    <w:family w:val="roman"/>
    <w:pitch w:val="variable"/>
  </w:font>
  <w:font w:name="Wingdings">
    <w:charset w:val="02"/>
    <w:family w:val="auto"/>
    <w:pitch w:val="default"/>
    <w:embedRegular r:id="rId18" w:fontKey="{12014A78-CABC-4EF0-12AC-5CD89AEFDE12}"/>
  </w:font>
  <w:font w:name="Wingdings 2">
    <w:charset w:val="02"/>
    <w:family w:val="auto"/>
    <w:pitch w:val="default"/>
    <w:embedRegular r:id="rId19" w:fontKey="{13014A78-CABC-4EF0-12AC-5CD89AEFDE13}"/>
  </w:font>
  <w:font w:name="OpenSymbol">
    <w:altName w:val="Arial Unicode MS"/>
    <w:charset w:val="01"/>
    <w:family w:val="auto"/>
    <w:pitch w:val="default"/>
    <w:embedRegular r:id="rId20" w:fontKey="{14014A78-CABC-4EF0-12AC-5CD89AEFDE14}"/>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fr-FR" w:eastAsia="zh-CN" w:bidi="hi-IN"/>
    </w:rPr>
  </w:style>
  <w:style w:type="paragraph" w:styleId="Titre1">
    <w:name w:val="Heading 1"/>
    <w:basedOn w:val="Normal1"/>
    <w:next w:val="Normal1"/>
    <w:qFormat/>
    <w:pPr>
      <w:keepNext w:val="true"/>
      <w:keepLines/>
      <w:pageBreakBefore w:val="false"/>
      <w:spacing w:lineRule="auto" w:line="240" w:before="400" w:after="120"/>
    </w:pPr>
    <w:rPr>
      <w:sz w:val="40"/>
      <w:szCs w:val="40"/>
    </w:rPr>
  </w:style>
  <w:style w:type="paragraph" w:styleId="Titre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Titre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Titre4">
    <w:name w:val="Heading 4"/>
    <w:basedOn w:val="Normal1"/>
    <w:next w:val="Normal1"/>
    <w:qFormat/>
    <w:pPr>
      <w:keepNext w:val="true"/>
      <w:keepLines/>
      <w:pageBreakBefore w:val="false"/>
      <w:spacing w:lineRule="auto" w:line="240" w:before="280" w:after="80"/>
    </w:pPr>
    <w:rPr>
      <w:color w:val="666666"/>
      <w:sz w:val="24"/>
      <w:szCs w:val="24"/>
    </w:rPr>
  </w:style>
  <w:style w:type="paragraph" w:styleId="Titre5">
    <w:name w:val="Heading 5"/>
    <w:basedOn w:val="Normal1"/>
    <w:next w:val="Normal1"/>
    <w:qFormat/>
    <w:pPr>
      <w:keepNext w:val="true"/>
      <w:keepLines/>
      <w:pageBreakBefore w:val="false"/>
      <w:spacing w:lineRule="auto" w:line="240" w:before="240" w:after="80"/>
    </w:pPr>
    <w:rPr>
      <w:color w:val="666666"/>
      <w:sz w:val="22"/>
      <w:szCs w:val="22"/>
    </w:rPr>
  </w:style>
  <w:style w:type="paragraph" w:styleId="Titre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fr-FR" w:eastAsia="zh-CN" w:bidi="hi-IN"/>
    </w:rPr>
  </w:style>
  <w:style w:type="paragraph" w:styleId="Titreprincipal">
    <w:name w:val="Title"/>
    <w:basedOn w:val="Normal1"/>
    <w:next w:val="Normal1"/>
    <w:qFormat/>
    <w:pPr>
      <w:keepNext w:val="true"/>
      <w:keepLines/>
      <w:pageBreakBefore w:val="false"/>
      <w:spacing w:lineRule="auto" w:line="240" w:before="0" w:after="60"/>
    </w:pPr>
    <w:rPr>
      <w:sz w:val="52"/>
      <w:szCs w:val="52"/>
    </w:rPr>
  </w:style>
  <w:style w:type="paragraph" w:styleId="Soustitr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Application>LibreOffice/7.0.4.2$Windows_X86_64 LibreOffice_project/dcf040e67528d9187c66b2379df5ea4407429775</Application>
  <AppVersion>15.0000</AppVersion>
  <Pages>6</Pages>
  <Words>815</Words>
  <Characters>4706</Characters>
  <CharactersWithSpaces>5462</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
</cp:coreProperties>
</file>