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rial" w:hAnsi="Arial"/>
          <w:b/>
          <w:color w:val="2563EB"/>
          <w:sz w:val="58"/>
        </w:rPr>
        <w:t>CHARTE GRAPHIQUE &amp; UX/UI</w:t>
      </w:r>
    </w:p>
    <w:p>
      <w:pPr>
        <w:jc w:val="center"/>
      </w:pPr>
      <w:r>
        <w:rPr>
          <w:b/>
          <w:color w:val="0F172A"/>
          <w:sz w:val="46"/>
        </w:rPr>
        <w:t>Innov’Events Manager</w:t>
      </w:r>
    </w:p>
    <w:p>
      <w:pPr>
        <w:jc w:val="center"/>
      </w:pPr>
      <w:r>
        <w:t>Titre professionnel Concepteur développeur d’applications</w:t>
      </w:r>
    </w:p>
    <w:p>
      <w:pPr>
        <w:jc w:val="center"/>
      </w:pPr>
      <w:r>
        <w:t>Romain Rémusat</w:t>
      </w:r>
    </w:p>
    <w:p>
      <w:pPr>
        <w:jc w:val="center"/>
      </w:pPr>
      <w:r>
        <w:t>Version 2.0 — 27 septembre 2026</w:t>
      </w:r>
    </w:p>
    <w:p>
      <w:r>
        <w:br w:type="page"/>
      </w:r>
    </w:p>
    <w:p>
      <w:pPr>
        <w:pStyle w:val="Heading1"/>
      </w:pPr>
      <w:r>
        <w:t>Sommaire</w:t>
      </w:r>
    </w:p>
    <w:p>
      <w:pPr>
        <w:ind w:left="227"/>
      </w:pPr>
      <w:r>
        <w:rPr>
          <w:b/>
        </w:rPr>
        <w:t>1. Positionnement</w:t>
      </w:r>
    </w:p>
    <w:p>
      <w:pPr>
        <w:ind w:left="227"/>
      </w:pPr>
      <w:r>
        <w:rPr>
          <w:b/>
        </w:rPr>
        <w:t>2. Palette de couleurs</w:t>
      </w:r>
    </w:p>
    <w:p>
      <w:pPr>
        <w:ind w:left="227"/>
      </w:pPr>
      <w:r>
        <w:rPr>
          <w:b/>
        </w:rPr>
        <w:t>3. Typographie</w:t>
      </w:r>
    </w:p>
    <w:p>
      <w:pPr>
        <w:ind w:left="227"/>
      </w:pPr>
      <w:r>
        <w:rPr>
          <w:b/>
        </w:rPr>
        <w:t>4. Composants et iconographie</w:t>
      </w:r>
    </w:p>
    <w:p>
      <w:pPr>
        <w:ind w:left="227"/>
      </w:pPr>
      <w:r>
        <w:rPr>
          <w:b/>
        </w:rPr>
        <w:t>5. Principes d’accessibilité et responsive</w:t>
      </w:r>
    </w:p>
    <w:p>
      <w:pPr>
        <w:ind w:left="227"/>
      </w:pPr>
      <w:r>
        <w:rPr>
          <w:b/>
        </w:rPr>
        <w:t>6. Enchaînement des interfaces</w:t>
      </w:r>
    </w:p>
    <w:p>
      <w:pPr>
        <w:ind w:left="227"/>
      </w:pPr>
      <w:r>
        <w:rPr>
          <w:b/>
        </w:rPr>
        <w:t>7. Conception web — wireframes</w:t>
      </w:r>
    </w:p>
    <w:p>
      <w:pPr>
        <w:ind w:left="567"/>
      </w:pPr>
      <w:r>
        <w:rPr>
          <w:color w:val="475569"/>
        </w:rPr>
        <w:t>7.1 Tableau de bord</w:t>
      </w:r>
    </w:p>
    <w:p>
      <w:pPr>
        <w:ind w:left="567"/>
      </w:pPr>
      <w:r>
        <w:rPr>
          <w:color w:val="475569"/>
        </w:rPr>
        <w:t>7.2 Demande de devis</w:t>
      </w:r>
    </w:p>
    <w:p>
      <w:pPr>
        <w:ind w:left="567"/>
      </w:pPr>
      <w:r>
        <w:rPr>
          <w:color w:val="475569"/>
        </w:rPr>
        <w:t>7.3 Accueil</w:t>
      </w:r>
    </w:p>
    <w:p>
      <w:pPr>
        <w:ind w:left="227"/>
      </w:pPr>
      <w:r>
        <w:rPr>
          <w:b/>
        </w:rPr>
        <w:t>8. Conception web — maquettes</w:t>
      </w:r>
    </w:p>
    <w:p>
      <w:pPr>
        <w:ind w:left="567"/>
      </w:pPr>
      <w:r>
        <w:rPr>
          <w:color w:val="475569"/>
        </w:rPr>
        <w:t>8.1 Accueil</w:t>
      </w:r>
    </w:p>
    <w:p>
      <w:pPr>
        <w:ind w:left="567"/>
      </w:pPr>
      <w:r>
        <w:rPr>
          <w:color w:val="475569"/>
        </w:rPr>
        <w:t>8.2 Tableau de bord</w:t>
      </w:r>
    </w:p>
    <w:p>
      <w:pPr>
        <w:ind w:left="567"/>
      </w:pPr>
      <w:r>
        <w:rPr>
          <w:color w:val="475569"/>
        </w:rPr>
        <w:t>8.3 Demande de devis</w:t>
      </w:r>
    </w:p>
    <w:p>
      <w:pPr>
        <w:ind w:left="227"/>
      </w:pPr>
      <w:r>
        <w:rPr>
          <w:b/>
        </w:rPr>
        <w:t>9. Conception mobile — wireframes</w:t>
      </w:r>
    </w:p>
    <w:p>
      <w:pPr>
        <w:ind w:left="567"/>
      </w:pPr>
      <w:r>
        <w:rPr>
          <w:color w:val="475569"/>
        </w:rPr>
        <w:t>9.1 Événements à venir</w:t>
      </w:r>
    </w:p>
    <w:p>
      <w:pPr>
        <w:ind w:left="567"/>
      </w:pPr>
      <w:r>
        <w:rPr>
          <w:color w:val="475569"/>
        </w:rPr>
        <w:t>9.2 Fiche événement et ajout de note</w:t>
      </w:r>
    </w:p>
    <w:p>
      <w:pPr>
        <w:ind w:left="567"/>
      </w:pPr>
      <w:r>
        <w:rPr>
          <w:color w:val="475569"/>
        </w:rPr>
        <w:t>9.3 Fiche client</w:t>
      </w:r>
    </w:p>
    <w:p>
      <w:pPr>
        <w:ind w:left="227"/>
      </w:pPr>
      <w:r>
        <w:rPr>
          <w:b/>
        </w:rPr>
        <w:t>10. Conception mobile — maquettes</w:t>
      </w:r>
    </w:p>
    <w:p>
      <w:pPr>
        <w:ind w:left="567"/>
      </w:pPr>
      <w:r>
        <w:rPr>
          <w:color w:val="475569"/>
        </w:rPr>
        <w:t>10.1 Événements à venir</w:t>
      </w:r>
    </w:p>
    <w:p>
      <w:pPr>
        <w:ind w:left="567"/>
      </w:pPr>
      <w:r>
        <w:rPr>
          <w:color w:val="475569"/>
        </w:rPr>
        <w:t>10.2 Fiche événement et ajout de note</w:t>
      </w:r>
    </w:p>
    <w:p>
      <w:pPr>
        <w:ind w:left="567"/>
      </w:pPr>
      <w:r>
        <w:rPr>
          <w:color w:val="475569"/>
        </w:rPr>
        <w:t>10.3 Fiche client</w:t>
      </w:r>
    </w:p>
    <w:p>
      <w:pPr>
        <w:ind w:left="227"/>
      </w:pPr>
      <w:r>
        <w:rPr>
          <w:b/>
        </w:rPr>
        <w:t>11. Correspondance avec l’application livrée</w:t>
      </w:r>
    </w:p>
    <w:p>
      <w:r>
        <w:br w:type="page"/>
      </w:r>
    </w:p>
    <w:p>
      <w:pPr>
        <w:pStyle w:val="Heading1"/>
      </w:pPr>
      <w:r>
        <w:t>1. Positionnement</w:t>
      </w:r>
    </w:p>
    <w:p>
      <w:r>
        <w:t>Innov’Events Manager est une application de gestion événementielle B2B. Son identité associe la rigueur attendue dans un outil de suivi commercial à une interface claire, moderne et utilisable sur ordinateur comme sur mobile. La hiérarchie visuelle facilite les tâches fréquentes et distingue immédiatement les actions, les informations et les alertes.</w:t>
      </w:r>
    </w:p>
    <w:p>
      <w:pPr>
        <w:pStyle w:val="Heading1"/>
      </w:pPr>
      <w:r>
        <w:t>2. Palette de couleurs</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fill="0F172A"/>
          </w:tcPr>
          <w:p>
            <w:pPr>
              <w:spacing w:after="60"/>
            </w:pPr>
            <w:r>
              <w:rPr>
                <w:rFonts w:ascii="Arial" w:hAnsi="Arial"/>
                <w:b/>
                <w:color w:val="FFFFFF"/>
                <w:sz w:val="17"/>
              </w:rPr>
              <w:t>Rôle</w:t>
            </w:r>
          </w:p>
        </w:tc>
        <w:tc>
          <w:tcPr>
            <w:tcW w:type="dxa" w:w="3213"/>
            <w:shd w:fill="0F172A"/>
          </w:tcPr>
          <w:p>
            <w:pPr>
              <w:spacing w:after="60"/>
            </w:pPr>
            <w:r>
              <w:rPr>
                <w:rFonts w:ascii="Arial" w:hAnsi="Arial"/>
                <w:b/>
                <w:color w:val="FFFFFF"/>
                <w:sz w:val="17"/>
              </w:rPr>
              <w:t>Couleur</w:t>
            </w:r>
          </w:p>
        </w:tc>
        <w:tc>
          <w:tcPr>
            <w:tcW w:type="dxa" w:w="3213"/>
            <w:shd w:fill="0F172A"/>
          </w:tcPr>
          <w:p>
            <w:pPr>
              <w:spacing w:after="60"/>
            </w:pPr>
            <w:r>
              <w:rPr>
                <w:rFonts w:ascii="Arial" w:hAnsi="Arial"/>
                <w:b/>
                <w:color w:val="FFFFFF"/>
                <w:sz w:val="17"/>
              </w:rPr>
              <w:t>Usage</w:t>
            </w:r>
          </w:p>
        </w:tc>
      </w:tr>
      <w:tr>
        <w:tc>
          <w:tcPr>
            <w:tcW w:type="dxa" w:w="3213"/>
          </w:tcPr>
          <w:p>
            <w:pPr>
              <w:spacing w:after="60"/>
            </w:pPr>
            <w:r>
              <w:rPr>
                <w:rFonts w:ascii="Arial" w:hAnsi="Arial"/>
                <w:sz w:val="17"/>
              </w:rPr>
              <w:t>Bleu nuit</w:t>
            </w:r>
          </w:p>
        </w:tc>
        <w:tc>
          <w:tcPr>
            <w:tcW w:type="dxa" w:w="3213"/>
          </w:tcPr>
          <w:p>
            <w:pPr>
              <w:spacing w:after="60"/>
            </w:pPr>
            <w:r>
              <w:rPr>
                <w:rFonts w:ascii="Arial" w:hAnsi="Arial"/>
                <w:sz w:val="17"/>
              </w:rPr>
              <w:t>#0F172A</w:t>
            </w:r>
          </w:p>
        </w:tc>
        <w:tc>
          <w:tcPr>
            <w:tcW w:type="dxa" w:w="3213"/>
          </w:tcPr>
          <w:p>
            <w:pPr>
              <w:spacing w:after="60"/>
            </w:pPr>
            <w:r>
              <w:rPr>
                <w:rFonts w:ascii="Arial" w:hAnsi="Arial"/>
                <w:sz w:val="17"/>
              </w:rPr>
              <w:t>Navigation, titres structurants et fonds principaux.</w:t>
            </w:r>
          </w:p>
        </w:tc>
      </w:tr>
      <w:tr>
        <w:tc>
          <w:tcPr>
            <w:tcW w:type="dxa" w:w="3213"/>
          </w:tcPr>
          <w:p>
            <w:pPr>
              <w:spacing w:after="60"/>
            </w:pPr>
            <w:r>
              <w:rPr>
                <w:rFonts w:ascii="Arial" w:hAnsi="Arial"/>
                <w:sz w:val="17"/>
              </w:rPr>
              <w:t>Bleu principal</w:t>
            </w:r>
          </w:p>
        </w:tc>
        <w:tc>
          <w:tcPr>
            <w:tcW w:type="dxa" w:w="3213"/>
          </w:tcPr>
          <w:p>
            <w:pPr>
              <w:spacing w:after="60"/>
            </w:pPr>
            <w:r>
              <w:rPr>
                <w:rFonts w:ascii="Arial" w:hAnsi="Arial"/>
                <w:sz w:val="17"/>
              </w:rPr>
              <w:t>#2563EB</w:t>
            </w:r>
          </w:p>
        </w:tc>
        <w:tc>
          <w:tcPr>
            <w:tcW w:type="dxa" w:w="3213"/>
          </w:tcPr>
          <w:p>
            <w:pPr>
              <w:spacing w:after="60"/>
            </w:pPr>
            <w:r>
              <w:rPr>
                <w:rFonts w:ascii="Arial" w:hAnsi="Arial"/>
                <w:sz w:val="17"/>
              </w:rPr>
              <w:t>Boutons principaux, liens actifs et focus.</w:t>
            </w:r>
          </w:p>
        </w:tc>
      </w:tr>
      <w:tr>
        <w:tc>
          <w:tcPr>
            <w:tcW w:type="dxa" w:w="3213"/>
          </w:tcPr>
          <w:p>
            <w:pPr>
              <w:spacing w:after="60"/>
            </w:pPr>
            <w:r>
              <w:rPr>
                <w:rFonts w:ascii="Arial" w:hAnsi="Arial"/>
                <w:sz w:val="17"/>
              </w:rPr>
              <w:t>Bleu d’accent</w:t>
            </w:r>
          </w:p>
        </w:tc>
        <w:tc>
          <w:tcPr>
            <w:tcW w:type="dxa" w:w="3213"/>
          </w:tcPr>
          <w:p>
            <w:pPr>
              <w:spacing w:after="60"/>
            </w:pPr>
            <w:r>
              <w:rPr>
                <w:rFonts w:ascii="Arial" w:hAnsi="Arial"/>
                <w:sz w:val="17"/>
              </w:rPr>
              <w:t>#3B82F6</w:t>
            </w:r>
          </w:p>
        </w:tc>
        <w:tc>
          <w:tcPr>
            <w:tcW w:type="dxa" w:w="3213"/>
          </w:tcPr>
          <w:p>
            <w:pPr>
              <w:spacing w:after="60"/>
            </w:pPr>
            <w:r>
              <w:rPr>
                <w:rFonts w:ascii="Arial" w:hAnsi="Arial"/>
                <w:sz w:val="17"/>
              </w:rPr>
              <w:t>Illustrations, courriels et éléments secondaires.</w:t>
            </w:r>
          </w:p>
        </w:tc>
      </w:tr>
      <w:tr>
        <w:tc>
          <w:tcPr>
            <w:tcW w:type="dxa" w:w="3213"/>
          </w:tcPr>
          <w:p>
            <w:pPr>
              <w:spacing w:after="60"/>
            </w:pPr>
            <w:r>
              <w:rPr>
                <w:rFonts w:ascii="Arial" w:hAnsi="Arial"/>
                <w:sz w:val="17"/>
              </w:rPr>
              <w:t>Ardoise</w:t>
            </w:r>
          </w:p>
        </w:tc>
        <w:tc>
          <w:tcPr>
            <w:tcW w:type="dxa" w:w="3213"/>
          </w:tcPr>
          <w:p>
            <w:pPr>
              <w:spacing w:after="60"/>
            </w:pPr>
            <w:r>
              <w:rPr>
                <w:rFonts w:ascii="Arial" w:hAnsi="Arial"/>
                <w:sz w:val="17"/>
              </w:rPr>
              <w:t>#334155 / #475569</w:t>
            </w:r>
          </w:p>
        </w:tc>
        <w:tc>
          <w:tcPr>
            <w:tcW w:type="dxa" w:w="3213"/>
          </w:tcPr>
          <w:p>
            <w:pPr>
              <w:spacing w:after="60"/>
            </w:pPr>
            <w:r>
              <w:rPr>
                <w:rFonts w:ascii="Arial" w:hAnsi="Arial"/>
                <w:sz w:val="17"/>
              </w:rPr>
              <w:t>Texte courant et informations secondaires.</w:t>
            </w:r>
          </w:p>
        </w:tc>
      </w:tr>
      <w:tr>
        <w:tc>
          <w:tcPr>
            <w:tcW w:type="dxa" w:w="3213"/>
          </w:tcPr>
          <w:p>
            <w:pPr>
              <w:spacing w:after="60"/>
            </w:pPr>
            <w:r>
              <w:rPr>
                <w:rFonts w:ascii="Arial" w:hAnsi="Arial"/>
                <w:sz w:val="17"/>
              </w:rPr>
              <w:t>Fond clair</w:t>
            </w:r>
          </w:p>
        </w:tc>
        <w:tc>
          <w:tcPr>
            <w:tcW w:type="dxa" w:w="3213"/>
          </w:tcPr>
          <w:p>
            <w:pPr>
              <w:spacing w:after="60"/>
            </w:pPr>
            <w:r>
              <w:rPr>
                <w:rFonts w:ascii="Arial" w:hAnsi="Arial"/>
                <w:sz w:val="17"/>
              </w:rPr>
              <w:t>#F8FAFC</w:t>
            </w:r>
          </w:p>
        </w:tc>
        <w:tc>
          <w:tcPr>
            <w:tcW w:type="dxa" w:w="3213"/>
          </w:tcPr>
          <w:p>
            <w:pPr>
              <w:spacing w:after="60"/>
            </w:pPr>
            <w:r>
              <w:rPr>
                <w:rFonts w:ascii="Arial" w:hAnsi="Arial"/>
                <w:sz w:val="17"/>
              </w:rPr>
              <w:t>Zones de contenu et contraste avec les cartes blanches.</w:t>
            </w:r>
          </w:p>
        </w:tc>
      </w:tr>
      <w:tr>
        <w:tc>
          <w:tcPr>
            <w:tcW w:type="dxa" w:w="3213"/>
          </w:tcPr>
          <w:p>
            <w:pPr>
              <w:spacing w:after="60"/>
            </w:pPr>
            <w:r>
              <w:rPr>
                <w:rFonts w:ascii="Arial" w:hAnsi="Arial"/>
                <w:sz w:val="17"/>
              </w:rPr>
              <w:t>Succès</w:t>
            </w:r>
          </w:p>
        </w:tc>
        <w:tc>
          <w:tcPr>
            <w:tcW w:type="dxa" w:w="3213"/>
          </w:tcPr>
          <w:p>
            <w:pPr>
              <w:spacing w:after="60"/>
            </w:pPr>
            <w:r>
              <w:rPr>
                <w:rFonts w:ascii="Arial" w:hAnsi="Arial"/>
                <w:sz w:val="17"/>
              </w:rPr>
              <w:t>#10B981</w:t>
            </w:r>
          </w:p>
        </w:tc>
        <w:tc>
          <w:tcPr>
            <w:tcW w:type="dxa" w:w="3213"/>
          </w:tcPr>
          <w:p>
            <w:pPr>
              <w:spacing w:after="60"/>
            </w:pPr>
            <w:r>
              <w:rPr>
                <w:rFonts w:ascii="Arial" w:hAnsi="Arial"/>
                <w:sz w:val="17"/>
              </w:rPr>
              <w:t>Confirmation, devis accepté et opération terminée.</w:t>
            </w:r>
          </w:p>
        </w:tc>
      </w:tr>
      <w:tr>
        <w:tc>
          <w:tcPr>
            <w:tcW w:type="dxa" w:w="3213"/>
          </w:tcPr>
          <w:p>
            <w:pPr>
              <w:spacing w:after="60"/>
            </w:pPr>
            <w:r>
              <w:rPr>
                <w:rFonts w:ascii="Arial" w:hAnsi="Arial"/>
                <w:sz w:val="17"/>
              </w:rPr>
              <w:t>Alerte</w:t>
            </w:r>
          </w:p>
        </w:tc>
        <w:tc>
          <w:tcPr>
            <w:tcW w:type="dxa" w:w="3213"/>
          </w:tcPr>
          <w:p>
            <w:pPr>
              <w:spacing w:after="60"/>
            </w:pPr>
            <w:r>
              <w:rPr>
                <w:rFonts w:ascii="Arial" w:hAnsi="Arial"/>
                <w:sz w:val="17"/>
              </w:rPr>
              <w:t>#F59E0B</w:t>
            </w:r>
          </w:p>
        </w:tc>
        <w:tc>
          <w:tcPr>
            <w:tcW w:type="dxa" w:w="3213"/>
          </w:tcPr>
          <w:p>
            <w:pPr>
              <w:spacing w:after="60"/>
            </w:pPr>
            <w:r>
              <w:rPr>
                <w:rFonts w:ascii="Arial" w:hAnsi="Arial"/>
                <w:sz w:val="17"/>
              </w:rPr>
              <w:t>Élément en attente ou action à traiter.</w:t>
            </w:r>
          </w:p>
        </w:tc>
      </w:tr>
      <w:tr>
        <w:tc>
          <w:tcPr>
            <w:tcW w:type="dxa" w:w="3213"/>
          </w:tcPr>
          <w:p>
            <w:pPr>
              <w:spacing w:after="60"/>
            </w:pPr>
            <w:r>
              <w:rPr>
                <w:rFonts w:ascii="Arial" w:hAnsi="Arial"/>
                <w:sz w:val="17"/>
              </w:rPr>
              <w:t>Danger</w:t>
            </w:r>
          </w:p>
        </w:tc>
        <w:tc>
          <w:tcPr>
            <w:tcW w:type="dxa" w:w="3213"/>
          </w:tcPr>
          <w:p>
            <w:pPr>
              <w:spacing w:after="60"/>
            </w:pPr>
            <w:r>
              <w:rPr>
                <w:rFonts w:ascii="Arial" w:hAnsi="Arial"/>
                <w:sz w:val="17"/>
              </w:rPr>
              <w:t>#EF4444</w:t>
            </w:r>
          </w:p>
        </w:tc>
        <w:tc>
          <w:tcPr>
            <w:tcW w:type="dxa" w:w="3213"/>
          </w:tcPr>
          <w:p>
            <w:pPr>
              <w:spacing w:after="60"/>
            </w:pPr>
            <w:r>
              <w:rPr>
                <w:rFonts w:ascii="Arial" w:hAnsi="Arial"/>
                <w:sz w:val="17"/>
              </w:rPr>
              <w:t>Erreur, refus et suppression.</w:t>
            </w:r>
          </w:p>
        </w:tc>
      </w:tr>
    </w:tbl>
    <w:p/>
    <w:p>
      <w:r>
        <w:t>Le bleu #2563EB est la couleur d’action principale réellement utilisée dans l’interface finale. Le bleu #3B82F6 reste une nuance d’accent. Les états ne reposent jamais uniquement sur une couleur : un libellé, une icône ou un message complète le signal visuel.</w:t>
      </w:r>
    </w:p>
    <w:p>
      <w:pPr>
        <w:pStyle w:val="Heading1"/>
      </w:pPr>
      <w:r>
        <w:t>3. Typographie</w:t>
      </w:r>
    </w:p>
    <w:p>
      <w:r>
        <w:t>La pile typographique est Inter, system-ui, sans-serif. Inter apporte une bonne lisibilité aux tableaux, formulaires et indicateurs. La police système sert de solution de secours sans téléchargement bloquant.</w:t>
      </w:r>
    </w:p>
    <w:p>
      <w:pPr>
        <w:pStyle w:val="ListBullet"/>
      </w:pPr>
      <w:r>
        <w:t>titre de page : graisse 700 à 800 ;</w:t>
      </w:r>
    </w:p>
    <w:p>
      <w:pPr>
        <w:pStyle w:val="ListBullet"/>
      </w:pPr>
      <w:r>
        <w:t>titre de section : graisse 700 ;</w:t>
      </w:r>
    </w:p>
    <w:p>
      <w:pPr>
        <w:pStyle w:val="ListBullet"/>
      </w:pPr>
      <w:r>
        <w:t>texte courant : graisse 400 ;</w:t>
      </w:r>
    </w:p>
    <w:p>
      <w:pPr>
        <w:pStyle w:val="ListBullet"/>
      </w:pPr>
      <w:r>
        <w:t>libellé et bouton : graisse 600 ;</w:t>
      </w:r>
    </w:p>
    <w:p>
      <w:pPr>
        <w:pStyle w:val="ListBullet"/>
      </w:pPr>
      <w:r>
        <w:t>taille minimale du texte utile : 16 px sur les formulaires mobiles.</w:t>
      </w:r>
    </w:p>
    <w:p>
      <w:pPr>
        <w:pStyle w:val="Heading1"/>
      </w:pPr>
      <w:r>
        <w:t>4. Composants et iconographie</w:t>
      </w:r>
    </w:p>
    <w:p>
      <w:r>
        <w:t>Bootstrap 5 fournit la grille, les formulaires, les cartes, les alertes, les tableaux et les adaptations responsives. Bootstrap Icons fournit un vocabulaire visuel homogène. Une icône décorative est masquée aux technologies d’assistance ; une icône porteuse d’information reçoit un libellé accessible.</w:t>
      </w:r>
    </w:p>
    <w:p>
      <w:r>
        <w:t>Les boutons ont un intitulé explicite et un état de focus visible. Les formulaires associent chaque champ à un label, identifient les champs obligatoires et rapprochent l’erreur du champ concerné. Les tableaux deviennent défilables sur les écrans étroits.</w:t>
      </w:r>
    </w:p>
    <w:p>
      <w:pPr>
        <w:pStyle w:val="Heading1"/>
      </w:pPr>
      <w:r>
        <w:t>5. Principes d’accessibilité et responsive</w:t>
      </w:r>
    </w:p>
    <w:p>
      <w:r>
        <w:t>La structure emploie les éléments sémantiques HTML, un ordre de tabulation logique et des textes alternatifs pour les images utiles. Les contrastes de texte et d’action ont été contrôlés sur les couleurs principales. Le zoom, le clavier, les messages d’erreur et plusieurs largeurs de téléphone ont fait l’objet de la recette humaine.</w:t>
      </w:r>
    </w:p>
    <w:p>
      <w:r>
        <w:t>La version mobile du personnel est une PWA dédiée aux tâches en déplacement. Elle conserve de grandes zones tactiles, une navigation basse constante et des actions directes pour appeler, écrire ou ouvrir un itinéraire.</w:t>
      </w:r>
    </w:p>
    <w:p>
      <w:pPr>
        <w:pStyle w:val="Heading1"/>
      </w:pPr>
      <w:r>
        <w:t>6. Enchaînement des interfaces</w:t>
      </w:r>
    </w:p>
    <w:p>
      <w:pPr>
        <w:jc w:val="center"/>
      </w:pPr>
      <w:r>
        <w:drawing>
          <wp:inline xmlns:a="http://schemas.openxmlformats.org/drawingml/2006/main" xmlns:pic="http://schemas.openxmlformats.org/drawingml/2006/picture">
            <wp:extent cx="5715000" cy="3143250"/>
            <wp:docPr id="1" name="Picture 1"/>
            <wp:cNvGraphicFramePr>
              <a:graphicFrameLocks noChangeAspect="1"/>
            </wp:cNvGraphicFramePr>
            <a:graphic>
              <a:graphicData uri="http://schemas.openxmlformats.org/drawingml/2006/picture">
                <pic:pic>
                  <pic:nvPicPr>
                    <pic:cNvPr id="0" name="enchainement-interfaces.png"/>
                    <pic:cNvPicPr/>
                  </pic:nvPicPr>
                  <pic:blipFill>
                    <a:blip r:embed="rId11"/>
                    <a:stretch>
                      <a:fillRect/>
                    </a:stretch>
                  </pic:blipFill>
                  <pic:spPr>
                    <a:xfrm>
                      <a:off x="0" y="0"/>
                      <a:ext cx="5715000" cy="3143250"/>
                    </a:xfrm>
                    <a:prstGeom prst="rect"/>
                  </pic:spPr>
                </pic:pic>
              </a:graphicData>
            </a:graphic>
          </wp:inline>
        </w:drawing>
      </w:r>
    </w:p>
    <w:p>
      <w:pPr>
        <w:jc w:val="center"/>
      </w:pPr>
      <w:r>
        <w:rPr>
          <w:i/>
          <w:color w:val="475569"/>
          <w:sz w:val="17"/>
        </w:rPr>
        <w:t>Enchaînement des interfaces publiques, privées et mobiles</w:t>
      </w:r>
    </w:p>
    <w:p>
      <w:pPr>
        <w:pStyle w:val="Heading1"/>
      </w:pPr>
      <w:r>
        <w:t>7. Conception web — wireframes</w:t>
      </w:r>
    </w:p>
    <w:p>
      <w:pPr>
        <w:pStyle w:val="Heading2"/>
      </w:pPr>
      <w:r>
        <w:t>7.1 Tableau de bord</w:t>
      </w:r>
    </w:p>
    <w:p>
      <w:pPr>
        <w:jc w:val="center"/>
      </w:pPr>
      <w:r>
        <w:drawing>
          <wp:inline xmlns:a="http://schemas.openxmlformats.org/drawingml/2006/main" xmlns:pic="http://schemas.openxmlformats.org/drawingml/2006/picture">
            <wp:extent cx="3555187" cy="7406640"/>
            <wp:docPr id="2" name="Picture 2"/>
            <wp:cNvGraphicFramePr>
              <a:graphicFrameLocks noChangeAspect="1"/>
            </wp:cNvGraphicFramePr>
            <a:graphic>
              <a:graphicData uri="http://schemas.openxmlformats.org/drawingml/2006/picture">
                <pic:pic>
                  <pic:nvPicPr>
                    <pic:cNvPr id="0" name="wireframe-01-dashboard.png"/>
                    <pic:cNvPicPr/>
                  </pic:nvPicPr>
                  <pic:blipFill>
                    <a:blip r:embed="rId12"/>
                    <a:stretch>
                      <a:fillRect/>
                    </a:stretch>
                  </pic:blipFill>
                  <pic:spPr>
                    <a:xfrm>
                      <a:off x="0" y="0"/>
                      <a:ext cx="3555187" cy="7406640"/>
                    </a:xfrm>
                    <a:prstGeom prst="rect"/>
                  </pic:spPr>
                </pic:pic>
              </a:graphicData>
            </a:graphic>
          </wp:inline>
        </w:drawing>
      </w:r>
    </w:p>
    <w:p>
      <w:pPr>
        <w:jc w:val="center"/>
      </w:pPr>
      <w:r>
        <w:rPr>
          <w:i/>
          <w:color w:val="475569"/>
          <w:sz w:val="17"/>
        </w:rPr>
        <w:t>Wireframe du tableau de bord web</w:t>
      </w:r>
    </w:p>
    <w:p>
      <w:pPr>
        <w:pStyle w:val="Heading2"/>
      </w:pPr>
      <w:r>
        <w:t>7.2 Demande de devis</w:t>
      </w:r>
    </w:p>
    <w:p>
      <w:pPr>
        <w:jc w:val="center"/>
      </w:pPr>
      <w:r>
        <w:drawing>
          <wp:inline xmlns:a="http://schemas.openxmlformats.org/drawingml/2006/main" xmlns:pic="http://schemas.openxmlformats.org/drawingml/2006/picture">
            <wp:extent cx="4731837" cy="7406640"/>
            <wp:docPr id="3" name="Picture 3"/>
            <wp:cNvGraphicFramePr>
              <a:graphicFrameLocks noChangeAspect="1"/>
            </wp:cNvGraphicFramePr>
            <a:graphic>
              <a:graphicData uri="http://schemas.openxmlformats.org/drawingml/2006/picture">
                <pic:pic>
                  <pic:nvPicPr>
                    <pic:cNvPr id="0" name="wireframe-02-demande-devis.png"/>
                    <pic:cNvPicPr/>
                  </pic:nvPicPr>
                  <pic:blipFill>
                    <a:blip r:embed="rId13"/>
                    <a:stretch>
                      <a:fillRect/>
                    </a:stretch>
                  </pic:blipFill>
                  <pic:spPr>
                    <a:xfrm>
                      <a:off x="0" y="0"/>
                      <a:ext cx="4731837" cy="7406640"/>
                    </a:xfrm>
                    <a:prstGeom prst="rect"/>
                  </pic:spPr>
                </pic:pic>
              </a:graphicData>
            </a:graphic>
          </wp:inline>
        </w:drawing>
      </w:r>
    </w:p>
    <w:p>
      <w:pPr>
        <w:jc w:val="center"/>
      </w:pPr>
      <w:r>
        <w:rPr>
          <w:i/>
          <w:color w:val="475569"/>
          <w:sz w:val="17"/>
        </w:rPr>
        <w:t>Wireframe du formulaire de demande de devis</w:t>
      </w:r>
    </w:p>
    <w:p>
      <w:pPr>
        <w:pStyle w:val="Heading2"/>
      </w:pPr>
      <w:r>
        <w:t>7.3 Accueil</w:t>
      </w:r>
    </w:p>
    <w:p>
      <w:pPr>
        <w:jc w:val="center"/>
      </w:pPr>
      <w:r>
        <w:drawing>
          <wp:inline xmlns:a="http://schemas.openxmlformats.org/drawingml/2006/main" xmlns:pic="http://schemas.openxmlformats.org/drawingml/2006/picture">
            <wp:extent cx="3555187" cy="7406640"/>
            <wp:docPr id="4" name="Picture 4"/>
            <wp:cNvGraphicFramePr>
              <a:graphicFrameLocks noChangeAspect="1"/>
            </wp:cNvGraphicFramePr>
            <a:graphic>
              <a:graphicData uri="http://schemas.openxmlformats.org/drawingml/2006/picture">
                <pic:pic>
                  <pic:nvPicPr>
                    <pic:cNvPr id="0" name="wireframe-03-accueil.png"/>
                    <pic:cNvPicPr/>
                  </pic:nvPicPr>
                  <pic:blipFill>
                    <a:blip r:embed="rId14"/>
                    <a:stretch>
                      <a:fillRect/>
                    </a:stretch>
                  </pic:blipFill>
                  <pic:spPr>
                    <a:xfrm>
                      <a:off x="0" y="0"/>
                      <a:ext cx="3555187" cy="7406640"/>
                    </a:xfrm>
                    <a:prstGeom prst="rect"/>
                  </pic:spPr>
                </pic:pic>
              </a:graphicData>
            </a:graphic>
          </wp:inline>
        </w:drawing>
      </w:r>
    </w:p>
    <w:p>
      <w:pPr>
        <w:jc w:val="center"/>
      </w:pPr>
      <w:r>
        <w:rPr>
          <w:i/>
          <w:color w:val="475569"/>
          <w:sz w:val="17"/>
        </w:rPr>
        <w:t>Wireframe de la page d’accueil</w:t>
      </w:r>
    </w:p>
    <w:p>
      <w:pPr>
        <w:pStyle w:val="Heading1"/>
      </w:pPr>
      <w:r>
        <w:t>8. Conception web — maquettes</w:t>
      </w:r>
    </w:p>
    <w:p>
      <w:pPr>
        <w:pStyle w:val="Heading2"/>
      </w:pPr>
      <w:r>
        <w:t>8.1 Accueil</w:t>
      </w:r>
    </w:p>
    <w:p>
      <w:pPr>
        <w:jc w:val="center"/>
      </w:pPr>
      <w:r>
        <w:drawing>
          <wp:inline xmlns:a="http://schemas.openxmlformats.org/drawingml/2006/main" xmlns:pic="http://schemas.openxmlformats.org/drawingml/2006/picture">
            <wp:extent cx="3555187" cy="7406640"/>
            <wp:docPr id="5" name="Picture 5"/>
            <wp:cNvGraphicFramePr>
              <a:graphicFrameLocks noChangeAspect="1"/>
            </wp:cNvGraphicFramePr>
            <a:graphic>
              <a:graphicData uri="http://schemas.openxmlformats.org/drawingml/2006/picture">
                <pic:pic>
                  <pic:nvPicPr>
                    <pic:cNvPr id="0" name="mockup-01-accueil.png"/>
                    <pic:cNvPicPr/>
                  </pic:nvPicPr>
                  <pic:blipFill>
                    <a:blip r:embed="rId15"/>
                    <a:stretch>
                      <a:fillRect/>
                    </a:stretch>
                  </pic:blipFill>
                  <pic:spPr>
                    <a:xfrm>
                      <a:off x="0" y="0"/>
                      <a:ext cx="3555187" cy="7406640"/>
                    </a:xfrm>
                    <a:prstGeom prst="rect"/>
                  </pic:spPr>
                </pic:pic>
              </a:graphicData>
            </a:graphic>
          </wp:inline>
        </w:drawing>
      </w:r>
    </w:p>
    <w:p>
      <w:pPr>
        <w:jc w:val="center"/>
      </w:pPr>
      <w:r>
        <w:rPr>
          <w:i/>
          <w:color w:val="475569"/>
          <w:sz w:val="17"/>
        </w:rPr>
        <w:t>Maquette de la page d’accueil</w:t>
      </w:r>
    </w:p>
    <w:p>
      <w:pPr>
        <w:pStyle w:val="Heading2"/>
      </w:pPr>
      <w:r>
        <w:t>8.2 Tableau de bord</w:t>
      </w:r>
    </w:p>
    <w:p>
      <w:pPr>
        <w:jc w:val="center"/>
      </w:pPr>
      <w:r>
        <w:drawing>
          <wp:inline xmlns:a="http://schemas.openxmlformats.org/drawingml/2006/main" xmlns:pic="http://schemas.openxmlformats.org/drawingml/2006/picture">
            <wp:extent cx="3555187" cy="7406640"/>
            <wp:docPr id="6" name="Picture 6"/>
            <wp:cNvGraphicFramePr>
              <a:graphicFrameLocks noChangeAspect="1"/>
            </wp:cNvGraphicFramePr>
            <a:graphic>
              <a:graphicData uri="http://schemas.openxmlformats.org/drawingml/2006/picture">
                <pic:pic>
                  <pic:nvPicPr>
                    <pic:cNvPr id="0" name="mockup-02-dashboard.png"/>
                    <pic:cNvPicPr/>
                  </pic:nvPicPr>
                  <pic:blipFill>
                    <a:blip r:embed="rId16"/>
                    <a:stretch>
                      <a:fillRect/>
                    </a:stretch>
                  </pic:blipFill>
                  <pic:spPr>
                    <a:xfrm>
                      <a:off x="0" y="0"/>
                      <a:ext cx="3555187" cy="7406640"/>
                    </a:xfrm>
                    <a:prstGeom prst="rect"/>
                  </pic:spPr>
                </pic:pic>
              </a:graphicData>
            </a:graphic>
          </wp:inline>
        </w:drawing>
      </w:r>
    </w:p>
    <w:p>
      <w:pPr>
        <w:jc w:val="center"/>
      </w:pPr>
      <w:r>
        <w:rPr>
          <w:i/>
          <w:color w:val="475569"/>
          <w:sz w:val="17"/>
        </w:rPr>
        <w:t>Maquette du tableau de bord</w:t>
      </w:r>
    </w:p>
    <w:p>
      <w:pPr>
        <w:pStyle w:val="Heading2"/>
      </w:pPr>
      <w:r>
        <w:t>8.3 Demande de devis</w:t>
      </w:r>
    </w:p>
    <w:p>
      <w:pPr>
        <w:jc w:val="center"/>
      </w:pPr>
      <w:r>
        <w:drawing>
          <wp:inline xmlns:a="http://schemas.openxmlformats.org/drawingml/2006/main" xmlns:pic="http://schemas.openxmlformats.org/drawingml/2006/picture">
            <wp:extent cx="3982659" cy="7406640"/>
            <wp:docPr id="7" name="Picture 7"/>
            <wp:cNvGraphicFramePr>
              <a:graphicFrameLocks noChangeAspect="1"/>
            </wp:cNvGraphicFramePr>
            <a:graphic>
              <a:graphicData uri="http://schemas.openxmlformats.org/drawingml/2006/picture">
                <pic:pic>
                  <pic:nvPicPr>
                    <pic:cNvPr id="0" name="mockup-03-demande-devis.png"/>
                    <pic:cNvPicPr/>
                  </pic:nvPicPr>
                  <pic:blipFill>
                    <a:blip r:embed="rId17"/>
                    <a:stretch>
                      <a:fillRect/>
                    </a:stretch>
                  </pic:blipFill>
                  <pic:spPr>
                    <a:xfrm>
                      <a:off x="0" y="0"/>
                      <a:ext cx="3982659" cy="7406640"/>
                    </a:xfrm>
                    <a:prstGeom prst="rect"/>
                  </pic:spPr>
                </pic:pic>
              </a:graphicData>
            </a:graphic>
          </wp:inline>
        </w:drawing>
      </w:r>
    </w:p>
    <w:p>
      <w:pPr>
        <w:jc w:val="center"/>
      </w:pPr>
      <w:r>
        <w:rPr>
          <w:i/>
          <w:color w:val="475569"/>
          <w:sz w:val="17"/>
        </w:rPr>
        <w:t>Maquette du formulaire de demande de devis</w:t>
      </w:r>
    </w:p>
    <w:p>
      <w:pPr>
        <w:pStyle w:val="Heading1"/>
      </w:pPr>
      <w:r>
        <w:t>9. Conception mobile — wireframes</w:t>
      </w:r>
    </w:p>
    <w:p>
      <w:pPr>
        <w:pStyle w:val="Heading2"/>
      </w:pPr>
      <w:r>
        <w:t>9.1 Événements à venir</w:t>
      </w:r>
    </w:p>
    <w:p>
      <w:pPr>
        <w:jc w:val="center"/>
      </w:pPr>
      <w:r>
        <w:drawing>
          <wp:inline xmlns:a="http://schemas.openxmlformats.org/drawingml/2006/main" xmlns:pic="http://schemas.openxmlformats.org/drawingml/2006/picture">
            <wp:extent cx="3422499" cy="7406640"/>
            <wp:docPr id="8" name="Picture 8"/>
            <wp:cNvGraphicFramePr>
              <a:graphicFrameLocks noChangeAspect="1"/>
            </wp:cNvGraphicFramePr>
            <a:graphic>
              <a:graphicData uri="http://schemas.openxmlformats.org/drawingml/2006/picture">
                <pic:pic>
                  <pic:nvPicPr>
                    <pic:cNvPr id="0" name="wireframe-mobile-01-evenements.png"/>
                    <pic:cNvPicPr/>
                  </pic:nvPicPr>
                  <pic:blipFill>
                    <a:blip r:embed="rId18"/>
                    <a:stretch>
                      <a:fillRect/>
                    </a:stretch>
                  </pic:blipFill>
                  <pic:spPr>
                    <a:xfrm>
                      <a:off x="0" y="0"/>
                      <a:ext cx="3422499" cy="7406640"/>
                    </a:xfrm>
                    <a:prstGeom prst="rect"/>
                  </pic:spPr>
                </pic:pic>
              </a:graphicData>
            </a:graphic>
          </wp:inline>
        </w:drawing>
      </w:r>
    </w:p>
    <w:p>
      <w:pPr>
        <w:jc w:val="center"/>
      </w:pPr>
      <w:r>
        <w:rPr>
          <w:i/>
          <w:color w:val="475569"/>
          <w:sz w:val="17"/>
        </w:rPr>
        <w:t>Wireframe mobile de la liste des événements</w:t>
      </w:r>
    </w:p>
    <w:p>
      <w:pPr>
        <w:pStyle w:val="Heading2"/>
      </w:pPr>
      <w:r>
        <w:t>9.2 Fiche événement et ajout de note</w:t>
      </w:r>
    </w:p>
    <w:p>
      <w:pPr>
        <w:jc w:val="center"/>
      </w:pPr>
      <w:r>
        <w:drawing>
          <wp:inline xmlns:a="http://schemas.openxmlformats.org/drawingml/2006/main" xmlns:pic="http://schemas.openxmlformats.org/drawingml/2006/picture">
            <wp:extent cx="3422499" cy="7406640"/>
            <wp:docPr id="9" name="Picture 9"/>
            <wp:cNvGraphicFramePr>
              <a:graphicFrameLocks noChangeAspect="1"/>
            </wp:cNvGraphicFramePr>
            <a:graphic>
              <a:graphicData uri="http://schemas.openxmlformats.org/drawingml/2006/picture">
                <pic:pic>
                  <pic:nvPicPr>
                    <pic:cNvPr id="0" name="wireframe-mobile-02-evenement-note.png"/>
                    <pic:cNvPicPr/>
                  </pic:nvPicPr>
                  <pic:blipFill>
                    <a:blip r:embed="rId19"/>
                    <a:stretch>
                      <a:fillRect/>
                    </a:stretch>
                  </pic:blipFill>
                  <pic:spPr>
                    <a:xfrm>
                      <a:off x="0" y="0"/>
                      <a:ext cx="3422499" cy="7406640"/>
                    </a:xfrm>
                    <a:prstGeom prst="rect"/>
                  </pic:spPr>
                </pic:pic>
              </a:graphicData>
            </a:graphic>
          </wp:inline>
        </w:drawing>
      </w:r>
    </w:p>
    <w:p>
      <w:pPr>
        <w:jc w:val="center"/>
      </w:pPr>
      <w:r>
        <w:rPr>
          <w:i/>
          <w:color w:val="475569"/>
          <w:sz w:val="17"/>
        </w:rPr>
        <w:t>Wireframe mobile de la fiche événement</w:t>
      </w:r>
    </w:p>
    <w:p>
      <w:pPr>
        <w:pStyle w:val="Heading2"/>
      </w:pPr>
      <w:r>
        <w:t>9.3 Fiche client</w:t>
      </w:r>
    </w:p>
    <w:p>
      <w:pPr>
        <w:jc w:val="center"/>
      </w:pPr>
      <w:r>
        <w:drawing>
          <wp:inline xmlns:a="http://schemas.openxmlformats.org/drawingml/2006/main" xmlns:pic="http://schemas.openxmlformats.org/drawingml/2006/picture">
            <wp:extent cx="3422499" cy="7406640"/>
            <wp:docPr id="10" name="Picture 10"/>
            <wp:cNvGraphicFramePr>
              <a:graphicFrameLocks noChangeAspect="1"/>
            </wp:cNvGraphicFramePr>
            <a:graphic>
              <a:graphicData uri="http://schemas.openxmlformats.org/drawingml/2006/picture">
                <pic:pic>
                  <pic:nvPicPr>
                    <pic:cNvPr id="0" name="wireframe-mobile-03-client.png"/>
                    <pic:cNvPicPr/>
                  </pic:nvPicPr>
                  <pic:blipFill>
                    <a:blip r:embed="rId20"/>
                    <a:stretch>
                      <a:fillRect/>
                    </a:stretch>
                  </pic:blipFill>
                  <pic:spPr>
                    <a:xfrm>
                      <a:off x="0" y="0"/>
                      <a:ext cx="3422499" cy="7406640"/>
                    </a:xfrm>
                    <a:prstGeom prst="rect"/>
                  </pic:spPr>
                </pic:pic>
              </a:graphicData>
            </a:graphic>
          </wp:inline>
        </w:drawing>
      </w:r>
    </w:p>
    <w:p>
      <w:pPr>
        <w:jc w:val="center"/>
      </w:pPr>
      <w:r>
        <w:rPr>
          <w:i/>
          <w:color w:val="475569"/>
          <w:sz w:val="17"/>
        </w:rPr>
        <w:t>Wireframe mobile de la fiche client</w:t>
      </w:r>
    </w:p>
    <w:p>
      <w:pPr>
        <w:pStyle w:val="Heading1"/>
      </w:pPr>
      <w:r>
        <w:t>10. Conception mobile — maquettes</w:t>
      </w:r>
    </w:p>
    <w:p>
      <w:pPr>
        <w:pStyle w:val="Heading2"/>
      </w:pPr>
      <w:r>
        <w:t>10.1 Événements à venir</w:t>
      </w:r>
    </w:p>
    <w:p>
      <w:pPr>
        <w:jc w:val="center"/>
      </w:pPr>
      <w:r>
        <w:drawing>
          <wp:inline xmlns:a="http://schemas.openxmlformats.org/drawingml/2006/main" xmlns:pic="http://schemas.openxmlformats.org/drawingml/2006/picture">
            <wp:extent cx="3422499" cy="7406640"/>
            <wp:docPr id="11" name="Picture 11"/>
            <wp:cNvGraphicFramePr>
              <a:graphicFrameLocks noChangeAspect="1"/>
            </wp:cNvGraphicFramePr>
            <a:graphic>
              <a:graphicData uri="http://schemas.openxmlformats.org/drawingml/2006/picture">
                <pic:pic>
                  <pic:nvPicPr>
                    <pic:cNvPr id="0" name="mockup-mobile-01-evenements.png"/>
                    <pic:cNvPicPr/>
                  </pic:nvPicPr>
                  <pic:blipFill>
                    <a:blip r:embed="rId21"/>
                    <a:stretch>
                      <a:fillRect/>
                    </a:stretch>
                  </pic:blipFill>
                  <pic:spPr>
                    <a:xfrm>
                      <a:off x="0" y="0"/>
                      <a:ext cx="3422499" cy="7406640"/>
                    </a:xfrm>
                    <a:prstGeom prst="rect"/>
                  </pic:spPr>
                </pic:pic>
              </a:graphicData>
            </a:graphic>
          </wp:inline>
        </w:drawing>
      </w:r>
    </w:p>
    <w:p>
      <w:pPr>
        <w:jc w:val="center"/>
      </w:pPr>
      <w:r>
        <w:rPr>
          <w:i/>
          <w:color w:val="475569"/>
          <w:sz w:val="17"/>
        </w:rPr>
        <w:t>Maquette mobile de la liste des événements</w:t>
      </w:r>
    </w:p>
    <w:p>
      <w:pPr>
        <w:pStyle w:val="Heading2"/>
      </w:pPr>
      <w:r>
        <w:t>10.2 Fiche événement et ajout de note</w:t>
      </w:r>
    </w:p>
    <w:p>
      <w:pPr>
        <w:jc w:val="center"/>
      </w:pPr>
      <w:r>
        <w:drawing>
          <wp:inline xmlns:a="http://schemas.openxmlformats.org/drawingml/2006/main" xmlns:pic="http://schemas.openxmlformats.org/drawingml/2006/picture">
            <wp:extent cx="3422499" cy="7406640"/>
            <wp:docPr id="12" name="Picture 12"/>
            <wp:cNvGraphicFramePr>
              <a:graphicFrameLocks noChangeAspect="1"/>
            </wp:cNvGraphicFramePr>
            <a:graphic>
              <a:graphicData uri="http://schemas.openxmlformats.org/drawingml/2006/picture">
                <pic:pic>
                  <pic:nvPicPr>
                    <pic:cNvPr id="0" name="mockup-mobile-02-evenement-note.png"/>
                    <pic:cNvPicPr/>
                  </pic:nvPicPr>
                  <pic:blipFill>
                    <a:blip r:embed="rId22"/>
                    <a:stretch>
                      <a:fillRect/>
                    </a:stretch>
                  </pic:blipFill>
                  <pic:spPr>
                    <a:xfrm>
                      <a:off x="0" y="0"/>
                      <a:ext cx="3422499" cy="7406640"/>
                    </a:xfrm>
                    <a:prstGeom prst="rect"/>
                  </pic:spPr>
                </pic:pic>
              </a:graphicData>
            </a:graphic>
          </wp:inline>
        </w:drawing>
      </w:r>
    </w:p>
    <w:p>
      <w:pPr>
        <w:jc w:val="center"/>
      </w:pPr>
      <w:r>
        <w:rPr>
          <w:i/>
          <w:color w:val="475569"/>
          <w:sz w:val="17"/>
        </w:rPr>
        <w:t>Maquette mobile de la fiche événement</w:t>
      </w:r>
    </w:p>
    <w:p>
      <w:pPr>
        <w:pStyle w:val="Heading2"/>
      </w:pPr>
      <w:r>
        <w:t>10.3 Fiche client</w:t>
      </w:r>
    </w:p>
    <w:p>
      <w:pPr>
        <w:jc w:val="center"/>
      </w:pPr>
      <w:r>
        <w:drawing>
          <wp:inline xmlns:a="http://schemas.openxmlformats.org/drawingml/2006/main" xmlns:pic="http://schemas.openxmlformats.org/drawingml/2006/picture">
            <wp:extent cx="3422499" cy="7406640"/>
            <wp:docPr id="13" name="Picture 13"/>
            <wp:cNvGraphicFramePr>
              <a:graphicFrameLocks noChangeAspect="1"/>
            </wp:cNvGraphicFramePr>
            <a:graphic>
              <a:graphicData uri="http://schemas.openxmlformats.org/drawingml/2006/picture">
                <pic:pic>
                  <pic:nvPicPr>
                    <pic:cNvPr id="0" name="mockup-mobile-03-client.png"/>
                    <pic:cNvPicPr/>
                  </pic:nvPicPr>
                  <pic:blipFill>
                    <a:blip r:embed="rId23"/>
                    <a:stretch>
                      <a:fillRect/>
                    </a:stretch>
                  </pic:blipFill>
                  <pic:spPr>
                    <a:xfrm>
                      <a:off x="0" y="0"/>
                      <a:ext cx="3422499" cy="7406640"/>
                    </a:xfrm>
                    <a:prstGeom prst="rect"/>
                  </pic:spPr>
                </pic:pic>
              </a:graphicData>
            </a:graphic>
          </wp:inline>
        </w:drawing>
      </w:r>
    </w:p>
    <w:p>
      <w:pPr>
        <w:jc w:val="center"/>
      </w:pPr>
      <w:r>
        <w:rPr>
          <w:i/>
          <w:color w:val="475569"/>
          <w:sz w:val="17"/>
        </w:rPr>
        <w:t>Maquette mobile de la fiche client</w:t>
      </w:r>
    </w:p>
    <w:p>
      <w:pPr>
        <w:pStyle w:val="Heading1"/>
      </w:pPr>
      <w:r>
        <w:t>11. Correspondance avec l’application livrée</w:t>
      </w:r>
    </w:p>
    <w:p>
      <w:r>
        <w:t>Les maquettes fixent la hiérarchie, le parcours et les composants attendus. L’intégration finale adapte certains espacements et contenus aux données réelles, tout en conservant la navigation, les couleurs, les composants Bootstrap et les actions principales. Les écrans d’administration privilégient la densité utile ; la PWA privilégie les actions courtes réalisables à une main.</w:t>
      </w:r>
    </w:p>
    <w:sectPr w:rsidR="00FC693F" w:rsidRPr="0006063C" w:rsidSect="00034616">
      <w:headerReference w:type="default" r:id="rId9"/>
      <w:footerReference w:type="default" r:id="rId10"/>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INNOV’EVENTS MANAGER — CHARTE GRAPHIQUE &amp; UX/UI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F17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2563EB"/>
      <w:sz w:val="38"/>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0F172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240"/>
      <w:contextualSpacing/>
    </w:pPr>
    <w:rPr>
      <w:rFonts w:asciiTheme="majorHAnsi" w:eastAsiaTheme="majorEastAsia" w:hAnsiTheme="majorHAnsi" w:cstheme="majorBidi" w:ascii="Arial" w:hAnsi="Arial"/>
      <w:b/>
      <w:color w:val="2563E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Charte graphique et UX/UI — Innov’Events Manager</dc:title>
  <dc:subject>Identité visuelle, accessibilité, wireframes et maquettes</dc:subject>
  <dc:creator>Romain Rémusat</dc:creator>
  <cp:keywords/>
  <dc:description>generated by python-docx</dc:description>
  <cp:lastModifiedBy/>
  <cp:revision>1</cp:revision>
  <dcterms:created xsi:type="dcterms:W3CDTF">2013-12-23T23:15:00Z</dcterms:created>
  <dcterms:modified xsi:type="dcterms:W3CDTF">2013-12-23T23:15:00Z</dcterms:modified>
  <cp:category/>
</cp:coreProperties>
</file>