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3771"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363E3604" w14:textId="5AB136C8"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LISTE DES</w:t>
      </w:r>
      <w:r>
        <w:rPr>
          <w:rFonts w:eastAsia="Times New Roman"/>
          <w:b/>
          <w:color w:val="000000"/>
        </w:rPr>
        <w:t xml:space="preserve"> </w:t>
      </w:r>
      <w:r w:rsidR="00B705A0">
        <w:rPr>
          <w:rFonts w:eastAsia="Times New Roman"/>
          <w:b/>
          <w:color w:val="000000"/>
        </w:rPr>
        <w:t>DOCUMENTS</w:t>
      </w:r>
      <w:r>
        <w:rPr>
          <w:rFonts w:eastAsia="Times New Roman"/>
          <w:b/>
          <w:color w:val="000000"/>
          <w:lang w:val="fr-FR"/>
        </w:rPr>
        <w:t xml:space="preserve"> A FOURNIR</w:t>
      </w:r>
    </w:p>
    <w:p w14:paraId="7E287039" w14:textId="41D4C0E2"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 xml:space="preserve">POUR UNE </w:t>
      </w:r>
      <w:r w:rsidR="00D51D6B">
        <w:rPr>
          <w:rFonts w:eastAsia="Times New Roman"/>
          <w:b/>
          <w:color w:val="000000"/>
          <w:lang w:val="fr-FR"/>
        </w:rPr>
        <w:t>PRESCRIPTION TRENTENAIRE</w:t>
      </w:r>
    </w:p>
    <w:p w14:paraId="4A43EE6D"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11AB49E6" w14:textId="77777777" w:rsidR="007F7315" w:rsidRDefault="007F7315" w:rsidP="007F7315">
      <w:pPr>
        <w:spacing w:line="253" w:lineRule="exact"/>
        <w:textAlignment w:val="baseline"/>
        <w:rPr>
          <w:rFonts w:eastAsia="Times New Roman"/>
          <w:b/>
          <w:color w:val="000000"/>
          <w:lang w:val="fr-FR"/>
        </w:rPr>
      </w:pPr>
    </w:p>
    <w:p w14:paraId="41C5A7D3" w14:textId="77777777" w:rsidR="00D51D6B" w:rsidRDefault="00D51D6B" w:rsidP="00D51D6B">
      <w:pPr>
        <w:spacing w:line="247" w:lineRule="exact"/>
        <w:ind w:left="1512"/>
        <w:textAlignment w:val="baseline"/>
        <w:rPr>
          <w:rFonts w:eastAsia="Times New Roman"/>
          <w:color w:val="000000"/>
          <w:lang w:val="fr-FR"/>
        </w:rPr>
      </w:pPr>
      <w:r>
        <w:rPr>
          <w:rFonts w:eastAsia="Times New Roman"/>
          <w:color w:val="000000"/>
          <w:lang w:val="fr-FR"/>
        </w:rPr>
        <w:t>1/ Plan cadastral du terrain</w:t>
      </w:r>
    </w:p>
    <w:p w14:paraId="56C43459" w14:textId="77777777" w:rsidR="00D51D6B" w:rsidRDefault="00D51D6B" w:rsidP="00D51D6B">
      <w:pPr>
        <w:spacing w:line="247" w:lineRule="exact"/>
        <w:ind w:left="1512"/>
        <w:textAlignment w:val="baseline"/>
        <w:rPr>
          <w:rFonts w:eastAsia="Times New Roman"/>
          <w:color w:val="000000"/>
          <w:lang w:val="fr-FR"/>
        </w:rPr>
      </w:pPr>
    </w:p>
    <w:p w14:paraId="40192D59" w14:textId="77777777" w:rsidR="00D51D6B" w:rsidRDefault="00D51D6B" w:rsidP="00D51D6B">
      <w:pPr>
        <w:spacing w:before="7" w:line="248" w:lineRule="exact"/>
        <w:ind w:left="1512"/>
        <w:textAlignment w:val="baseline"/>
        <w:rPr>
          <w:rFonts w:eastAsia="Times New Roman"/>
          <w:color w:val="000000"/>
          <w:lang w:val="fr-FR"/>
        </w:rPr>
      </w:pPr>
      <w:r>
        <w:rPr>
          <w:rFonts w:eastAsia="Times New Roman"/>
          <w:color w:val="000000"/>
          <w:lang w:val="fr-FR"/>
        </w:rPr>
        <w:t>2/ Extrait de matrice cadastrale pour le terrain</w:t>
      </w:r>
    </w:p>
    <w:p w14:paraId="20ED8234" w14:textId="77777777" w:rsidR="00D51D6B" w:rsidRDefault="00D51D6B" w:rsidP="00D51D6B">
      <w:pPr>
        <w:spacing w:before="256" w:line="248" w:lineRule="exact"/>
        <w:ind w:left="1512"/>
        <w:textAlignment w:val="baseline"/>
        <w:rPr>
          <w:rFonts w:eastAsia="Times New Roman"/>
          <w:color w:val="000000"/>
          <w:lang w:val="fr-FR"/>
        </w:rPr>
      </w:pPr>
      <w:r>
        <w:rPr>
          <w:rFonts w:eastAsia="Times New Roman"/>
          <w:color w:val="000000"/>
          <w:lang w:val="fr-FR"/>
        </w:rPr>
        <w:t>3/ Procès-verbal de bornage contradictoire en vue de la prescription</w:t>
      </w:r>
    </w:p>
    <w:p w14:paraId="52A8DAAF" w14:textId="77777777" w:rsidR="00D51D6B" w:rsidRDefault="00D51D6B" w:rsidP="00D51D6B">
      <w:pPr>
        <w:spacing w:line="248" w:lineRule="exact"/>
        <w:ind w:left="1512"/>
        <w:textAlignment w:val="baseline"/>
        <w:rPr>
          <w:rFonts w:eastAsia="Times New Roman"/>
          <w:color w:val="000000"/>
          <w:lang w:val="fr-FR"/>
        </w:rPr>
      </w:pPr>
    </w:p>
    <w:p w14:paraId="32DA4497" w14:textId="77777777" w:rsidR="00D51D6B" w:rsidRDefault="00D51D6B" w:rsidP="00D51D6B">
      <w:pPr>
        <w:spacing w:before="8" w:line="247" w:lineRule="exact"/>
        <w:ind w:left="1512"/>
        <w:textAlignment w:val="baseline"/>
        <w:rPr>
          <w:rFonts w:eastAsia="Times New Roman"/>
          <w:color w:val="000000"/>
          <w:spacing w:val="1"/>
          <w:lang w:val="fr-FR"/>
        </w:rPr>
      </w:pPr>
      <w:r>
        <w:rPr>
          <w:rFonts w:eastAsia="Times New Roman"/>
          <w:color w:val="000000"/>
          <w:spacing w:val="3"/>
          <w:lang w:val="fr-FR"/>
        </w:rPr>
        <w:t xml:space="preserve">4/ Sommation interpellative établie par un Commissaire de Justice concernant la prescription (avec photographies attestant de </w:t>
      </w:r>
      <w:r>
        <w:rPr>
          <w:rFonts w:eastAsia="Times New Roman"/>
          <w:color w:val="000000"/>
          <w:spacing w:val="1"/>
          <w:lang w:val="fr-FR"/>
        </w:rPr>
        <w:t>l'occupation effective)</w:t>
      </w:r>
    </w:p>
    <w:p w14:paraId="7A862699" w14:textId="77777777" w:rsidR="00D51D6B" w:rsidRDefault="00D51D6B" w:rsidP="00D51D6B">
      <w:pPr>
        <w:spacing w:before="8" w:line="247" w:lineRule="exact"/>
        <w:ind w:left="1512"/>
        <w:textAlignment w:val="baseline"/>
        <w:rPr>
          <w:rFonts w:eastAsia="Times New Roman"/>
          <w:color w:val="000000"/>
          <w:spacing w:val="1"/>
          <w:lang w:val="fr-FR"/>
        </w:rPr>
      </w:pPr>
    </w:p>
    <w:p w14:paraId="0783C24F" w14:textId="77777777" w:rsidR="00D51D6B" w:rsidRDefault="00D51D6B" w:rsidP="00D51D6B">
      <w:pPr>
        <w:spacing w:before="10" w:line="247" w:lineRule="exact"/>
        <w:ind w:left="1512"/>
        <w:textAlignment w:val="baseline"/>
        <w:rPr>
          <w:rFonts w:eastAsia="Times New Roman"/>
          <w:color w:val="000000"/>
          <w:lang w:val="fr-FR"/>
        </w:rPr>
      </w:pPr>
      <w:r>
        <w:rPr>
          <w:rFonts w:eastAsia="Times New Roman"/>
          <w:color w:val="000000"/>
          <w:spacing w:val="1"/>
          <w:lang w:val="fr-FR"/>
        </w:rPr>
        <w:t xml:space="preserve">5/ Procès-verbal d'affichage établie par un Commission de Justice concernant l'apposition du panneau avertissant les tiers de </w:t>
      </w:r>
      <w:r>
        <w:rPr>
          <w:rFonts w:eastAsia="Times New Roman"/>
          <w:color w:val="000000"/>
          <w:lang w:val="fr-FR"/>
        </w:rPr>
        <w:t>l'affichage conformément au modèle joint</w:t>
      </w:r>
    </w:p>
    <w:p w14:paraId="64C1F497" w14:textId="77777777" w:rsidR="00D51D6B" w:rsidRDefault="00D51D6B" w:rsidP="00D51D6B">
      <w:pPr>
        <w:spacing w:before="261" w:line="249" w:lineRule="exact"/>
        <w:ind w:left="1512"/>
        <w:textAlignment w:val="baseline"/>
        <w:rPr>
          <w:rFonts w:eastAsia="Times New Roman"/>
          <w:color w:val="000000"/>
          <w:lang w:val="fr-FR"/>
        </w:rPr>
      </w:pPr>
      <w:r>
        <w:rPr>
          <w:rFonts w:eastAsia="Times New Roman"/>
          <w:color w:val="000000"/>
          <w:lang w:val="fr-FR"/>
        </w:rPr>
        <w:t>6/ Les éléments concernant les constructions édifiées sur le terrain (permis de construire, date d'achèvement, certificat de conformité)</w:t>
      </w:r>
    </w:p>
    <w:p w14:paraId="7FD11EEA" w14:textId="77777777" w:rsidR="00D51D6B" w:rsidRDefault="00D51D6B" w:rsidP="00D51D6B">
      <w:pPr>
        <w:spacing w:before="259" w:line="248" w:lineRule="exact"/>
        <w:ind w:left="1512"/>
        <w:textAlignment w:val="baseline"/>
        <w:rPr>
          <w:rFonts w:eastAsia="Times New Roman"/>
          <w:color w:val="000000"/>
          <w:lang w:val="fr-FR"/>
        </w:rPr>
      </w:pPr>
      <w:r>
        <w:rPr>
          <w:rFonts w:eastAsia="Times New Roman"/>
          <w:color w:val="000000"/>
          <w:lang w:val="fr-FR"/>
        </w:rPr>
        <w:t>7/ Livret de famille des occupants</w:t>
      </w:r>
    </w:p>
    <w:p w14:paraId="149C03F3" w14:textId="77777777" w:rsidR="00D51D6B" w:rsidRDefault="00D51D6B" w:rsidP="00D51D6B">
      <w:pPr>
        <w:spacing w:before="4" w:line="249" w:lineRule="exact"/>
        <w:ind w:left="1512"/>
        <w:textAlignment w:val="baseline"/>
        <w:rPr>
          <w:rFonts w:eastAsia="Times New Roman"/>
          <w:color w:val="000000"/>
          <w:spacing w:val="5"/>
          <w:lang w:val="fr-FR"/>
        </w:rPr>
      </w:pPr>
      <w:r>
        <w:rPr>
          <w:rFonts w:eastAsia="Times New Roman"/>
          <w:color w:val="000000"/>
          <w:spacing w:val="5"/>
          <w:lang w:val="fr-FR"/>
        </w:rPr>
        <w:t>8/ Copie des cartes d'identité des personnes réclamant la prescription et adresses (voir fiche de</w:t>
      </w:r>
    </w:p>
    <w:p w14:paraId="40504E61" w14:textId="77777777" w:rsidR="00D51D6B" w:rsidRDefault="00D51D6B" w:rsidP="00D51D6B">
      <w:pPr>
        <w:spacing w:before="5" w:line="248" w:lineRule="exact"/>
        <w:ind w:left="1512"/>
        <w:textAlignment w:val="baseline"/>
        <w:rPr>
          <w:rFonts w:eastAsia="Times New Roman"/>
          <w:color w:val="000000"/>
          <w:lang w:val="fr-FR"/>
        </w:rPr>
      </w:pPr>
      <w:r>
        <w:rPr>
          <w:rFonts w:eastAsia="Times New Roman"/>
          <w:color w:val="000000"/>
          <w:lang w:val="fr-FR"/>
        </w:rPr>
        <w:t>renseignements ci-jointe)</w:t>
      </w:r>
    </w:p>
    <w:p w14:paraId="63DBB58E" w14:textId="77777777" w:rsidR="00D51D6B" w:rsidRDefault="00D51D6B" w:rsidP="00D51D6B">
      <w:pPr>
        <w:spacing w:before="258" w:line="248" w:lineRule="exact"/>
        <w:ind w:left="1512"/>
        <w:textAlignment w:val="baseline"/>
        <w:rPr>
          <w:rFonts w:eastAsia="Times New Roman"/>
          <w:color w:val="000000"/>
          <w:spacing w:val="8"/>
          <w:lang w:val="fr-FR"/>
        </w:rPr>
      </w:pPr>
      <w:r>
        <w:rPr>
          <w:rFonts w:eastAsia="Times New Roman"/>
          <w:color w:val="000000"/>
          <w:spacing w:val="8"/>
          <w:lang w:val="fr-FR"/>
        </w:rPr>
        <w:t>9/ Copie des avis d'imposition de la taxe foncière et copie des avis d'imposition pour la taxe</w:t>
      </w:r>
    </w:p>
    <w:p w14:paraId="7ED0EC03" w14:textId="77777777" w:rsidR="00D51D6B" w:rsidRDefault="00D51D6B" w:rsidP="00D51D6B">
      <w:pPr>
        <w:spacing w:before="3" w:line="248" w:lineRule="exact"/>
        <w:ind w:left="1512"/>
        <w:textAlignment w:val="baseline"/>
        <w:rPr>
          <w:rFonts w:eastAsia="Times New Roman"/>
          <w:color w:val="000000"/>
          <w:lang w:val="fr-FR"/>
        </w:rPr>
      </w:pPr>
      <w:r>
        <w:rPr>
          <w:rFonts w:eastAsia="Times New Roman"/>
          <w:color w:val="000000"/>
          <w:lang w:val="fr-FR"/>
        </w:rPr>
        <w:t>d'habitation (10 dernières années minimum)</w:t>
      </w:r>
    </w:p>
    <w:p w14:paraId="2FFB30B8" w14:textId="77777777" w:rsidR="00D51D6B" w:rsidRDefault="00D51D6B" w:rsidP="00D51D6B">
      <w:pPr>
        <w:spacing w:before="3" w:line="248" w:lineRule="exact"/>
        <w:ind w:left="1512"/>
        <w:textAlignment w:val="baseline"/>
        <w:rPr>
          <w:rFonts w:eastAsia="Times New Roman"/>
          <w:color w:val="000000"/>
          <w:lang w:val="fr-FR"/>
        </w:rPr>
      </w:pPr>
    </w:p>
    <w:p w14:paraId="5288BF9C" w14:textId="77777777" w:rsidR="00D51D6B" w:rsidRDefault="00D51D6B" w:rsidP="00D51D6B">
      <w:pPr>
        <w:spacing w:before="3" w:line="248" w:lineRule="exact"/>
        <w:ind w:left="1512"/>
        <w:textAlignment w:val="baseline"/>
        <w:rPr>
          <w:rFonts w:eastAsia="Times New Roman"/>
          <w:color w:val="000000"/>
          <w:lang w:val="fr-FR"/>
        </w:rPr>
      </w:pPr>
      <w:r>
        <w:rPr>
          <w:rFonts w:eastAsia="Times New Roman"/>
          <w:color w:val="000000"/>
          <w:lang w:val="fr-FR"/>
        </w:rPr>
        <w:t>10/ Copie des anciens titres de propriété (s'ils existent)</w:t>
      </w:r>
    </w:p>
    <w:p w14:paraId="632BA96C" w14:textId="77777777" w:rsidR="00D51D6B" w:rsidRDefault="00D51D6B" w:rsidP="00D51D6B">
      <w:pPr>
        <w:spacing w:before="3" w:line="248" w:lineRule="exact"/>
        <w:ind w:left="1512"/>
        <w:textAlignment w:val="baseline"/>
        <w:rPr>
          <w:rFonts w:eastAsia="Times New Roman"/>
          <w:color w:val="000000"/>
          <w:lang w:val="fr-FR"/>
        </w:rPr>
      </w:pPr>
    </w:p>
    <w:p w14:paraId="1D0F87B4" w14:textId="77777777" w:rsidR="00D51D6B" w:rsidRDefault="00D51D6B" w:rsidP="00D51D6B">
      <w:pPr>
        <w:spacing w:before="6" w:line="248" w:lineRule="exact"/>
        <w:ind w:left="1512"/>
        <w:textAlignment w:val="baseline"/>
        <w:rPr>
          <w:rFonts w:eastAsia="Times New Roman"/>
          <w:color w:val="000000"/>
          <w:lang w:val="fr-FR"/>
        </w:rPr>
      </w:pPr>
      <w:r>
        <w:rPr>
          <w:rFonts w:eastAsia="Times New Roman"/>
          <w:color w:val="000000"/>
          <w:lang w:val="fr-FR"/>
        </w:rPr>
        <w:t>11/ Etat hypothécaire (fiche immeuble) sur la parcelle concernée</w:t>
      </w:r>
    </w:p>
    <w:p w14:paraId="77D5B457" w14:textId="77777777" w:rsidR="00D51D6B" w:rsidRDefault="00D51D6B" w:rsidP="00D51D6B">
      <w:pPr>
        <w:spacing w:before="4" w:line="248" w:lineRule="exact"/>
        <w:ind w:left="1800"/>
        <w:textAlignment w:val="baseline"/>
        <w:rPr>
          <w:rFonts w:eastAsia="Times New Roman"/>
          <w:color w:val="000000"/>
          <w:lang w:val="fr-FR"/>
        </w:rPr>
      </w:pPr>
      <w:r>
        <w:rPr>
          <w:rFonts w:eastAsia="Times New Roman"/>
          <w:color w:val="000000"/>
          <w:lang w:val="fr-FR"/>
        </w:rPr>
        <w:t>Etat hypothécaire (fiche personnelle) du chef du demandeur de la prescription sur la parcelle</w:t>
      </w:r>
    </w:p>
    <w:p w14:paraId="5C747766" w14:textId="77777777" w:rsidR="00D51D6B" w:rsidRDefault="00D51D6B" w:rsidP="00D51D6B">
      <w:pPr>
        <w:spacing w:before="5" w:line="248" w:lineRule="exact"/>
        <w:ind w:left="1800"/>
        <w:textAlignment w:val="baseline"/>
        <w:rPr>
          <w:rFonts w:eastAsia="Times New Roman"/>
          <w:color w:val="000000"/>
          <w:lang w:val="fr-FR"/>
        </w:rPr>
      </w:pPr>
      <w:r>
        <w:rPr>
          <w:rFonts w:eastAsia="Times New Roman"/>
          <w:color w:val="000000"/>
          <w:lang w:val="fr-FR"/>
        </w:rPr>
        <w:t>concernée</w:t>
      </w:r>
    </w:p>
    <w:p w14:paraId="7B155F64" w14:textId="77777777" w:rsidR="00D51D6B" w:rsidRDefault="00D51D6B" w:rsidP="00D51D6B">
      <w:pPr>
        <w:spacing w:before="4" w:line="248" w:lineRule="exact"/>
        <w:ind w:left="1800"/>
        <w:textAlignment w:val="baseline"/>
        <w:rPr>
          <w:rFonts w:eastAsia="Times New Roman"/>
          <w:color w:val="000000"/>
          <w:lang w:val="fr-FR"/>
        </w:rPr>
      </w:pPr>
      <w:r>
        <w:rPr>
          <w:rFonts w:eastAsia="Times New Roman"/>
          <w:color w:val="000000"/>
          <w:lang w:val="fr-FR"/>
        </w:rPr>
        <w:t>Etat hypothécaire (fiche personnelle) du requérant (ou des parents du requérant le cas échéant)</w:t>
      </w:r>
    </w:p>
    <w:p w14:paraId="7DF96946" w14:textId="77777777" w:rsidR="00D51D6B" w:rsidRDefault="00D51D6B" w:rsidP="00D51D6B">
      <w:pPr>
        <w:spacing w:before="511" w:line="248" w:lineRule="exact"/>
        <w:ind w:left="1512"/>
        <w:textAlignment w:val="baseline"/>
        <w:rPr>
          <w:rFonts w:eastAsia="Times New Roman"/>
          <w:color w:val="000000"/>
          <w:spacing w:val="-1"/>
          <w:lang w:val="fr-FR"/>
        </w:rPr>
      </w:pPr>
      <w:r>
        <w:rPr>
          <w:rFonts w:eastAsia="Times New Roman"/>
          <w:color w:val="000000"/>
          <w:spacing w:val="-1"/>
          <w:lang w:val="fr-FR"/>
        </w:rPr>
        <w:t>Adresses utiles :</w:t>
      </w:r>
    </w:p>
    <w:p w14:paraId="64489CA3" w14:textId="77777777" w:rsidR="00D51D6B" w:rsidRDefault="00D51D6B" w:rsidP="00D51D6B">
      <w:pPr>
        <w:tabs>
          <w:tab w:val="left" w:pos="2232"/>
        </w:tabs>
        <w:spacing w:before="5" w:line="248" w:lineRule="exact"/>
        <w:ind w:left="1800"/>
        <w:textAlignment w:val="baseline"/>
        <w:rPr>
          <w:rFonts w:eastAsia="Times New Roman"/>
          <w:color w:val="000000"/>
          <w:spacing w:val="-1"/>
          <w:lang w:val="fr-FR"/>
        </w:rPr>
      </w:pPr>
      <w:r>
        <w:rPr>
          <w:rFonts w:eastAsia="Times New Roman"/>
          <w:color w:val="000000"/>
          <w:spacing w:val="-1"/>
          <w:lang w:val="fr-FR"/>
        </w:rPr>
        <w:t>-</w:t>
      </w:r>
      <w:r>
        <w:rPr>
          <w:rFonts w:eastAsia="Times New Roman"/>
          <w:color w:val="000000"/>
          <w:spacing w:val="-1"/>
          <w:lang w:val="fr-FR"/>
        </w:rPr>
        <w:tab/>
        <w:t>CENTRE DES FINANCES PUBLIQUES DE SAINT-DENIS</w:t>
      </w:r>
    </w:p>
    <w:p w14:paraId="50ADFCF2" w14:textId="77777777" w:rsidR="00D51D6B" w:rsidRDefault="00D51D6B" w:rsidP="00D51D6B">
      <w:pPr>
        <w:spacing w:before="5" w:line="248" w:lineRule="exact"/>
        <w:ind w:left="2232"/>
        <w:textAlignment w:val="baseline"/>
        <w:rPr>
          <w:rFonts w:eastAsia="Times New Roman"/>
          <w:color w:val="000000"/>
          <w:lang w:val="fr-FR"/>
        </w:rPr>
      </w:pPr>
      <w:r>
        <w:rPr>
          <w:rFonts w:eastAsia="Times New Roman"/>
          <w:color w:val="000000"/>
          <w:lang w:val="fr-FR"/>
        </w:rPr>
        <w:t>Service du cadastre / Service de la publicité foncière (ex-bureau des hypothèques)</w:t>
      </w:r>
    </w:p>
    <w:p w14:paraId="3DCDA0B0" w14:textId="77777777" w:rsidR="00D51D6B" w:rsidRDefault="00D51D6B" w:rsidP="00D51D6B">
      <w:pPr>
        <w:spacing w:before="5" w:line="252" w:lineRule="exact"/>
        <w:ind w:left="2232"/>
        <w:textAlignment w:val="baseline"/>
        <w:rPr>
          <w:rFonts w:eastAsia="Times New Roman"/>
          <w:color w:val="000000"/>
          <w:spacing w:val="-1"/>
          <w:lang w:val="fr-FR"/>
        </w:rPr>
      </w:pPr>
      <w:r>
        <w:rPr>
          <w:rFonts w:eastAsia="Times New Roman"/>
          <w:color w:val="000000"/>
          <w:spacing w:val="-1"/>
          <w:lang w:val="fr-FR"/>
        </w:rPr>
        <w:t>1 rue Champ Fleuri,</w:t>
      </w:r>
      <w:r>
        <w:rPr>
          <w:rFonts w:eastAsia="Times New Roman"/>
          <w:color w:val="000000"/>
          <w:spacing w:val="-1"/>
        </w:rPr>
        <w:t xml:space="preserve"> BP</w:t>
      </w:r>
      <w:r>
        <w:rPr>
          <w:rFonts w:eastAsia="Times New Roman"/>
          <w:color w:val="000000"/>
          <w:spacing w:val="-1"/>
          <w:lang w:val="fr-FR"/>
        </w:rPr>
        <w:t xml:space="preserve"> 7015</w:t>
      </w:r>
    </w:p>
    <w:p w14:paraId="149A5270" w14:textId="77777777" w:rsidR="00D51D6B" w:rsidRDefault="00D51D6B" w:rsidP="00D51D6B">
      <w:pPr>
        <w:spacing w:line="246" w:lineRule="exact"/>
        <w:ind w:left="2232"/>
        <w:textAlignment w:val="baseline"/>
        <w:rPr>
          <w:rFonts w:eastAsia="Times New Roman"/>
          <w:color w:val="000000"/>
          <w:spacing w:val="-1"/>
          <w:lang w:val="fr-FR"/>
        </w:rPr>
      </w:pPr>
      <w:r>
        <w:rPr>
          <w:rFonts w:eastAsia="Times New Roman"/>
          <w:color w:val="000000"/>
          <w:spacing w:val="-1"/>
          <w:lang w:val="fr-FR"/>
        </w:rPr>
        <w:t>97701 SAINT-DENIS</w:t>
      </w:r>
    </w:p>
    <w:p w14:paraId="7F5945A3" w14:textId="77777777" w:rsidR="00D51D6B" w:rsidRDefault="00D51D6B" w:rsidP="00D51D6B">
      <w:pPr>
        <w:tabs>
          <w:tab w:val="left" w:pos="2232"/>
        </w:tabs>
        <w:spacing w:before="260" w:line="248" w:lineRule="exact"/>
        <w:ind w:left="1800"/>
        <w:textAlignment w:val="baseline"/>
        <w:rPr>
          <w:rFonts w:eastAsia="Times New Roman"/>
          <w:color w:val="000000"/>
          <w:spacing w:val="-1"/>
          <w:lang w:val="fr-FR"/>
        </w:rPr>
      </w:pPr>
      <w:r>
        <w:rPr>
          <w:rFonts w:eastAsia="Times New Roman"/>
          <w:color w:val="000000"/>
          <w:spacing w:val="-1"/>
          <w:lang w:val="fr-FR"/>
        </w:rPr>
        <w:t>-</w:t>
      </w:r>
      <w:r>
        <w:rPr>
          <w:rFonts w:eastAsia="Times New Roman"/>
          <w:color w:val="000000"/>
          <w:spacing w:val="-1"/>
          <w:lang w:val="fr-FR"/>
        </w:rPr>
        <w:tab/>
        <w:t>CENTRE DES FINANCES PUBLIQUES DE SAINT-PIERRE</w:t>
      </w:r>
    </w:p>
    <w:p w14:paraId="1ED16BD6" w14:textId="77777777" w:rsidR="00D51D6B" w:rsidRDefault="00D51D6B" w:rsidP="00D51D6B">
      <w:pPr>
        <w:spacing w:before="4" w:line="248" w:lineRule="exact"/>
        <w:ind w:left="2232"/>
        <w:textAlignment w:val="baseline"/>
        <w:rPr>
          <w:rFonts w:eastAsia="Times New Roman"/>
          <w:color w:val="000000"/>
          <w:lang w:val="fr-FR"/>
        </w:rPr>
      </w:pPr>
      <w:r>
        <w:rPr>
          <w:rFonts w:eastAsia="Times New Roman"/>
          <w:color w:val="000000"/>
          <w:lang w:val="fr-FR"/>
        </w:rPr>
        <w:t>Service du cadastre / Service de la publicité foncière (ex-bureau des hypothèques)</w:t>
      </w:r>
    </w:p>
    <w:p w14:paraId="6322C0B0" w14:textId="77777777" w:rsidR="00D51D6B" w:rsidRDefault="00D51D6B" w:rsidP="00D51D6B">
      <w:pPr>
        <w:spacing w:before="5" w:line="248" w:lineRule="exact"/>
        <w:ind w:left="2232"/>
        <w:textAlignment w:val="baseline"/>
        <w:rPr>
          <w:rFonts w:eastAsia="Times New Roman"/>
          <w:color w:val="000000"/>
          <w:lang w:val="fr-FR"/>
        </w:rPr>
      </w:pPr>
      <w:r>
        <w:rPr>
          <w:rFonts w:eastAsia="Times New Roman"/>
          <w:color w:val="000000"/>
          <w:lang w:val="fr-FR"/>
        </w:rPr>
        <w:t>1 rue du Père Raimbault</w:t>
      </w:r>
    </w:p>
    <w:p w14:paraId="474718DF" w14:textId="77777777" w:rsidR="00D51D6B" w:rsidRDefault="00D51D6B" w:rsidP="00D51D6B">
      <w:pPr>
        <w:spacing w:before="1" w:line="248" w:lineRule="exact"/>
        <w:ind w:left="2232"/>
        <w:textAlignment w:val="baseline"/>
        <w:rPr>
          <w:rFonts w:eastAsia="Times New Roman"/>
          <w:color w:val="000000"/>
          <w:spacing w:val="-1"/>
          <w:lang w:val="fr-FR"/>
        </w:rPr>
      </w:pPr>
      <w:r>
        <w:rPr>
          <w:rFonts w:eastAsia="Times New Roman"/>
          <w:color w:val="000000"/>
          <w:spacing w:val="-1"/>
          <w:lang w:val="fr-FR"/>
        </w:rPr>
        <w:t>97410 SAINT-PIERRE</w:t>
      </w:r>
    </w:p>
    <w:p w14:paraId="0D92034C" w14:textId="77777777" w:rsidR="00D51D6B" w:rsidRDefault="00D51D6B" w:rsidP="00D51D6B">
      <w:pPr>
        <w:spacing w:before="11" w:line="504" w:lineRule="exact"/>
        <w:ind w:left="1512" w:right="779"/>
        <w:textAlignment w:val="baseline"/>
        <w:rPr>
          <w:rFonts w:eastAsia="Times New Roman"/>
          <w:b/>
          <w:color w:val="000000"/>
          <w:u w:val="single"/>
          <w:lang w:val="fr-FR"/>
        </w:rPr>
      </w:pPr>
      <w:r w:rsidRPr="00D51D6B">
        <w:rPr>
          <w:rFonts w:eastAsia="Times New Roman"/>
          <w:b/>
          <w:color w:val="000000"/>
          <w:lang w:val="fr-FR"/>
        </w:rPr>
        <w:t>Un acompte sur les frais de 470 euros est demandé à l'ouverture du dossier.</w:t>
      </w:r>
      <w:r>
        <w:rPr>
          <w:rFonts w:eastAsia="Times New Roman"/>
          <w:b/>
          <w:color w:val="000000"/>
          <w:u w:val="single"/>
          <w:lang w:val="fr-FR"/>
        </w:rPr>
        <w:t xml:space="preserve"> AVERTISSEMENT</w:t>
      </w:r>
    </w:p>
    <w:p w14:paraId="35953DBF" w14:textId="77777777" w:rsidR="00D51D6B" w:rsidRDefault="00D51D6B" w:rsidP="00D51D6B">
      <w:pPr>
        <w:spacing w:before="250" w:line="252" w:lineRule="exact"/>
        <w:ind w:left="1512"/>
        <w:textAlignment w:val="baseline"/>
        <w:rPr>
          <w:rFonts w:eastAsia="Times New Roman"/>
          <w:b/>
          <w:color w:val="000000"/>
          <w:lang w:val="fr-FR"/>
        </w:rPr>
      </w:pPr>
      <w:r>
        <w:rPr>
          <w:rFonts w:eastAsia="Times New Roman"/>
          <w:b/>
          <w:color w:val="000000"/>
          <w:lang w:val="fr-FR"/>
        </w:rPr>
        <w:t>La prescription trentenaire n'est pas un droit mais la constatation par acte notarié de la réunion de divers éléments prévus par la loi.</w:t>
      </w:r>
    </w:p>
    <w:p w14:paraId="396E98A3" w14:textId="57C64675" w:rsidR="00D51D6B" w:rsidRDefault="00D51D6B" w:rsidP="00D51D6B">
      <w:pPr>
        <w:spacing w:before="257" w:line="252" w:lineRule="exact"/>
        <w:ind w:left="1512"/>
        <w:textAlignment w:val="baseline"/>
        <w:rPr>
          <w:rFonts w:eastAsia="Times New Roman"/>
          <w:b/>
          <w:color w:val="000000"/>
          <w:lang w:val="fr-FR"/>
        </w:rPr>
      </w:pPr>
      <w:r>
        <w:rPr>
          <w:rFonts w:eastAsia="Times New Roman"/>
          <w:b/>
          <w:color w:val="000000"/>
          <w:lang w:val="fr-FR"/>
        </w:rPr>
        <w:t>Cela signifie que l'Etude se réserve le droit à n’importe quel stade du dossier de refuser d'établir la prescription s'il s'avère que des éléments contredisent la prescription réclamée.</w:t>
      </w:r>
    </w:p>
    <w:p w14:paraId="62E26D4B" w14:textId="77777777" w:rsidR="00D51D6B" w:rsidRDefault="00D51D6B" w:rsidP="00D51D6B">
      <w:pPr>
        <w:spacing w:after="471" w:line="251" w:lineRule="exact"/>
        <w:ind w:left="1512"/>
        <w:textAlignment w:val="baseline"/>
        <w:rPr>
          <w:rFonts w:eastAsia="Times New Roman"/>
          <w:b/>
          <w:color w:val="000000"/>
          <w:lang w:val="fr-FR"/>
        </w:rPr>
      </w:pPr>
      <w:r>
        <w:rPr>
          <w:rFonts w:eastAsia="Times New Roman"/>
          <w:b/>
          <w:color w:val="000000"/>
          <w:lang w:val="fr-FR"/>
        </w:rPr>
        <w:t>Dans cette hypothèse, les frais déjà engagés ne sont pas récupérés par la clientèle.</w:t>
      </w:r>
    </w:p>
    <w:p w14:paraId="7EDAE6A8" w14:textId="77777777" w:rsidR="007F7315" w:rsidRDefault="007F7315" w:rsidP="00954466">
      <w:pPr>
        <w:keepNext/>
        <w:keepLines/>
        <w:spacing w:before="120" w:after="120"/>
        <w:outlineLvl w:val="0"/>
        <w:rPr>
          <w:rFonts w:ascii="Arial" w:eastAsia="Times New Roman" w:hAnsi="Arial"/>
          <w:b/>
          <w:caps/>
          <w:color w:val="BFBFBF" w:themeColor="background1" w:themeShade="BF"/>
          <w:kern w:val="28"/>
          <w:sz w:val="20"/>
          <w:szCs w:val="20"/>
          <w:u w:val="single"/>
          <w:lang w:val="fr-FR" w:eastAsia="fr-FR"/>
        </w:rPr>
      </w:pPr>
    </w:p>
    <w:p w14:paraId="726B7D3F" w14:textId="77777777" w:rsid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p>
    <w:p w14:paraId="3C384FB1" w14:textId="77777777" w:rsid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p>
    <w:p w14:paraId="7819D36F" w14:textId="20B0DDC3" w:rsidR="007F7315" w:rsidRP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r w:rsidRPr="007F7315">
        <w:rPr>
          <w:rFonts w:ascii="Arial" w:eastAsia="Times New Roman" w:hAnsi="Arial"/>
          <w:b/>
          <w:caps/>
          <w:color w:val="BFBFBF" w:themeColor="background1" w:themeShade="BF"/>
          <w:kern w:val="28"/>
          <w:sz w:val="20"/>
          <w:szCs w:val="20"/>
          <w:u w:val="single"/>
          <w:lang w:val="fr-FR" w:eastAsia="fr-FR"/>
        </w:rPr>
        <w:t>Mention sur la protection des données personnelles</w:t>
      </w:r>
    </w:p>
    <w:p w14:paraId="11D13885"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traite des données personnelles concernant les personnes mentionnées aux présentes, pour l’accomplissement des activités notariales, notamment de formalités d’actes.</w:t>
      </w:r>
    </w:p>
    <w:p w14:paraId="22720F13"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 traitement est fondé sur le respect d’une obligation légale et l’exécution d’une mission relevant de l’exercice de l’autorité publique déléguée par l’Etat dont sont investis les notaires, officiers publics, conformément à l’ordonnance n° 45-2590 du 2 novembre 1945.</w:t>
      </w:r>
    </w:p>
    <w:p w14:paraId="0CB90DB1"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Ces données seront susceptibles d’être transférées aux destinataires suivants :</w:t>
      </w:r>
    </w:p>
    <w:p w14:paraId="324F0536"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1C87AE27"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offices notariaux participant ou concourant à l’acte,</w:t>
      </w:r>
    </w:p>
    <w:p w14:paraId="1C30D73A"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établissements financiers concernés,</w:t>
      </w:r>
    </w:p>
    <w:p w14:paraId="18BD835F"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de conseils spécialisés pour la gestion des activités notariales,</w:t>
      </w:r>
    </w:p>
    <w:p w14:paraId="396588F0"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 Conseil supérieur du notariat ou son délégataire, pour la production des statistiques permettant l’évaluation des biens immobiliers, en application du décret n° 2013-803 du 3 septembre 2013,</w:t>
      </w:r>
    </w:p>
    <w:p w14:paraId="07432639"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publics ou privés pour des opérations de vérification dans le cadre de la recherche de personnalités politiquement exposées ou ayant f</w:t>
      </w:r>
      <w:bookmarkStart w:id="0" w:name="_Hlk519172810"/>
      <w:r w:rsidRPr="007F7315">
        <w:rPr>
          <w:rFonts w:ascii="Arial" w:eastAsia="Times New Roman" w:hAnsi="Arial"/>
          <w:color w:val="BFBFBF" w:themeColor="background1" w:themeShade="BF"/>
          <w:sz w:val="20"/>
          <w:szCs w:val="20"/>
          <w:lang w:val="fr-FR" w:eastAsia="fr-FR"/>
        </w:rPr>
        <w:t xml:space="preserve">ait </w:t>
      </w:r>
      <w:bookmarkEnd w:id="0"/>
      <w:r w:rsidRPr="007F7315">
        <w:rPr>
          <w:rFonts w:ascii="Arial" w:eastAsia="Times New Roman" w:hAnsi="Arial"/>
          <w:color w:val="BFBFBF" w:themeColor="background1" w:themeShade="BF"/>
          <w:sz w:val="20"/>
          <w:szCs w:val="20"/>
          <w:lang w:val="fr-FR" w:eastAsia="fr-FR"/>
        </w:rPr>
        <w:t>l'objet de gel des avoirs ou sanctions, de la lutte contre le blanchiment des capitaux et le financement du terrorisme. Ces vérifications font l'objet d'un transfert de données dans un pays situé hors de l'Union Européenne et encadré par la signature de clauses contractuelles types de la Commission européenne, visant à assurer un niveau de protection des données substantiellement équivalent à celui garanti dans l’Union Européenne.</w:t>
      </w:r>
    </w:p>
    <w:p w14:paraId="361E13AD"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 xml:space="preserve">La communication de ces données à ces destinataires peut être indispensable pour l’accomplissement des activités notariales. </w:t>
      </w:r>
    </w:p>
    <w:p w14:paraId="3AE5ABD0"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17FD2DD8"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66D484CB"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01F74AF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Conformément à la réglementation en vigueur relative à la protection des données personnelles, les personnes peuvent demander l’accès aux données les concernant. Le cas échéant, elles peuvent demander la rectification ou l’effacement de celles-ci, obtenir la limitation du traitement de ces données ou s'y opposer pour des raisons tenant à leur situation particulière. Elles peuvent également définir des directives relatives à la conservation, à l’effacement et à la communication de leurs données personnelles après leur décès.</w:t>
      </w:r>
    </w:p>
    <w:p w14:paraId="0703E32A"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a désigné un Délégué à la protection des données que les personnes peuvent contacter à l’adresse suivante : dpo.not@adnov.fr.</w:t>
      </w:r>
    </w:p>
    <w:p w14:paraId="3B2E784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Si les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4ABD938E" w14:textId="77777777" w:rsidR="00F07EB3" w:rsidRPr="007F7315" w:rsidRDefault="00F07EB3">
      <w:pPr>
        <w:rPr>
          <w:color w:val="BFBFBF" w:themeColor="background1" w:themeShade="BF"/>
        </w:rPr>
      </w:pPr>
    </w:p>
    <w:sectPr w:rsidR="00F07EB3" w:rsidRPr="007F7315" w:rsidSect="00D51D6B">
      <w:headerReference w:type="even" r:id="rId7"/>
      <w:headerReference w:type="default" r:id="rId8"/>
      <w:footerReference w:type="default" r:id="rId9"/>
      <w:headerReference w:type="first" r:id="rId10"/>
      <w:pgSz w:w="11904" w:h="16824"/>
      <w:pgMar w:top="720" w:right="720" w:bottom="720" w:left="720" w:header="720" w:footer="1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E881E" w14:textId="77777777" w:rsidR="00DF50DE" w:rsidRDefault="00DF50DE" w:rsidP="007F7315">
      <w:r>
        <w:separator/>
      </w:r>
    </w:p>
  </w:endnote>
  <w:endnote w:type="continuationSeparator" w:id="0">
    <w:p w14:paraId="4644E86A" w14:textId="77777777" w:rsidR="00DF50DE" w:rsidRDefault="00DF50DE" w:rsidP="007F7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Times New Roman">
    <w:charset w:val="00"/>
    <w:pitch w:val="variable"/>
    <w:family w:val="roman"/>
    <w:panose1 w:val="02020603050405020304"/>
  </w:font>
  <w:font w:name="Verdana">
    <w:charset w:val="00"/>
    <w:pitch w:val="variable"/>
    <w:family w:val="swiss"/>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CC98" w14:textId="77537541" w:rsidR="00D51D6B" w:rsidRPr="00D51D6B" w:rsidRDefault="00D51D6B" w:rsidP="00D51D6B">
    <w:pPr>
      <w:pBdr>
        <w:top w:val="single" w:sz="4" w:space="1" w:color="auto"/>
      </w:pBdr>
      <w:spacing w:line="273" w:lineRule="exact"/>
      <w:ind w:left="288"/>
      <w:jc w:val="center"/>
      <w:textAlignment w:val="baseline"/>
      <w:rPr>
        <w:rFonts w:eastAsia="Times New Roman"/>
        <w:b/>
        <w:color w:val="525252"/>
        <w:sz w:val="20"/>
        <w:szCs w:val="20"/>
        <w:lang w:val="fr-FR"/>
      </w:rPr>
    </w:pPr>
    <w:r w:rsidRPr="00D51D6B">
      <w:rPr>
        <w:rFonts w:eastAsia="Times New Roman"/>
        <w:b/>
        <w:color w:val="525252"/>
        <w:sz w:val="20"/>
        <w:szCs w:val="20"/>
        <w:lang w:val="fr-FR"/>
      </w:rPr>
      <w:t xml:space="preserve">Maître Yasmina INCANA </w:t>
    </w:r>
    <w:r w:rsidRPr="00D51D6B">
      <w:rPr>
        <w:rFonts w:eastAsia="Times New Roman"/>
        <w:b/>
        <w:color w:val="525252"/>
        <w:sz w:val="20"/>
        <w:szCs w:val="20"/>
        <w:lang w:val="fr-FR"/>
      </w:rPr>
      <w:br/>
    </w:r>
    <w:r w:rsidRPr="00D51D6B">
      <w:rPr>
        <w:rFonts w:eastAsia="Times New Roman"/>
        <w:i/>
        <w:color w:val="525252"/>
        <w:sz w:val="20"/>
        <w:szCs w:val="20"/>
        <w:lang w:val="fr-FR"/>
      </w:rPr>
      <w:t xml:space="preserve">Notaire </w:t>
    </w:r>
    <w:r w:rsidRPr="00D51D6B">
      <w:rPr>
        <w:rFonts w:eastAsia="Times New Roman"/>
        <w:i/>
        <w:color w:val="525252"/>
        <w:sz w:val="20"/>
        <w:szCs w:val="20"/>
        <w:lang w:val="fr-FR"/>
      </w:rPr>
      <w:br/>
    </w:r>
    <w:r w:rsidRPr="00D51D6B">
      <w:rPr>
        <w:rFonts w:eastAsia="Times New Roman"/>
        <w:b/>
        <w:color w:val="525252"/>
        <w:sz w:val="20"/>
        <w:szCs w:val="20"/>
        <w:lang w:val="fr-FR"/>
      </w:rPr>
      <w:t xml:space="preserve">96 Avenue Raymond Barre 97427 L’ETANG SALE </w:t>
    </w:r>
    <w:r w:rsidRPr="00D51D6B">
      <w:rPr>
        <w:rFonts w:eastAsia="Times New Roman"/>
        <w:b/>
        <w:color w:val="525252"/>
        <w:sz w:val="20"/>
        <w:szCs w:val="20"/>
        <w:lang w:val="fr-FR"/>
      </w:rPr>
      <w:br/>
      <w:t xml:space="preserve">Tél : 0262 960 300 – </w:t>
    </w:r>
    <w:proofErr w:type="gramStart"/>
    <w:r w:rsidRPr="00D51D6B">
      <w:rPr>
        <w:rFonts w:eastAsia="Times New Roman"/>
        <w:b/>
        <w:color w:val="525252"/>
        <w:sz w:val="20"/>
        <w:szCs w:val="20"/>
      </w:rPr>
      <w:t>Email</w:t>
    </w:r>
    <w:proofErr w:type="gramEnd"/>
    <w:r w:rsidRPr="00D51D6B">
      <w:rPr>
        <w:rFonts w:eastAsia="Times New Roman"/>
        <w:b/>
        <w:color w:val="525252"/>
        <w:sz w:val="20"/>
        <w:szCs w:val="20"/>
        <w:lang w:val="fr-FR"/>
      </w:rPr>
      <w:t xml:space="preserve"> : </w:t>
    </w:r>
    <w:hyperlink r:id="rId1" w:history="1">
      <w:r w:rsidRPr="00D51D6B">
        <w:rPr>
          <w:rFonts w:eastAsia="Times New Roman"/>
          <w:b/>
          <w:color w:val="0000FF"/>
          <w:sz w:val="20"/>
          <w:szCs w:val="20"/>
          <w:u w:val="single"/>
          <w:lang w:val="fr-FR"/>
        </w:rPr>
        <w:t>office.incana@notaires.fr</w:t>
      </w:r>
    </w:hyperlink>
    <w:r w:rsidRPr="00D51D6B">
      <w:rPr>
        <w:rFonts w:eastAsia="Times New Roman"/>
        <w:b/>
        <w:color w:val="525252"/>
        <w:sz w:val="20"/>
        <w:szCs w:val="20"/>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13C94" w14:textId="77777777" w:rsidR="00DF50DE" w:rsidRDefault="00DF50DE" w:rsidP="007F7315">
      <w:r>
        <w:separator/>
      </w:r>
    </w:p>
  </w:footnote>
  <w:footnote w:type="continuationSeparator" w:id="0">
    <w:p w14:paraId="6A286308" w14:textId="77777777" w:rsidR="00DF50DE" w:rsidRDefault="00DF50DE" w:rsidP="007F7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2816" w14:textId="5C6EDD68" w:rsidR="007F7315" w:rsidRDefault="00000000">
    <w:pPr>
      <w:pStyle w:val="En-tte"/>
    </w:pPr>
    <w:r>
      <w:rPr>
        <w:noProof/>
      </w:rPr>
      <w:pict w14:anchorId="2430D1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3" o:spid="_x0000_s1026" type="#_x0000_t75" style="position:absolute;margin-left:0;margin-top:0;width:517.7pt;height:273.8pt;z-index:-251657216;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638F" w14:textId="7FE7923C" w:rsidR="007F7315" w:rsidRDefault="00000000">
    <w:pPr>
      <w:pStyle w:val="En-tte"/>
    </w:pPr>
    <w:r>
      <w:rPr>
        <w:noProof/>
      </w:rPr>
      <w:pict w14:anchorId="71E20C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4" o:spid="_x0000_s1027" type="#_x0000_t75" style="position:absolute;margin-left:0;margin-top:0;width:517.7pt;height:273.8pt;z-index:-251656192;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4D0D" w14:textId="5D26A721" w:rsidR="007F7315" w:rsidRDefault="00000000">
    <w:pPr>
      <w:pStyle w:val="En-tte"/>
    </w:pPr>
    <w:r>
      <w:rPr>
        <w:noProof/>
      </w:rPr>
      <w:pict w14:anchorId="2EE68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2" o:spid="_x0000_s1025" type="#_x0000_t75" style="position:absolute;margin-left:0;margin-top:0;width:517.7pt;height:273.8pt;z-index:-251658240;mso-position-horizontal:center;mso-position-horizontal-relative:margin;mso-position-vertical:center;mso-position-vertical-relative:margin" o:allowincell="f">
          <v:imagedata r:id="rId1" o:title="LOGO-YAI-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665CA"/>
    <w:multiLevelType w:val="multilevel"/>
    <w:tmpl w:val="6ABACE6E"/>
    <w:lvl w:ilvl="0">
      <w:numFmt w:val="bullet"/>
      <w:lvlText w:val="-"/>
      <w:lvlJc w:val="left"/>
      <w:rPr>
        <w:rFonts w:ascii="Symbol" w:eastAsia="Symbol" w:hAnsi="Symbol"/>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280E85"/>
    <w:multiLevelType w:val="hybridMultilevel"/>
    <w:tmpl w:val="6614801C"/>
    <w:lvl w:ilvl="0" w:tplc="200C0001">
      <w:start w:val="1"/>
      <w:numFmt w:val="bullet"/>
      <w:lvlText w:val=""/>
      <w:lvlJc w:val="left"/>
      <w:pPr>
        <w:ind w:left="2232" w:hanging="360"/>
      </w:pPr>
      <w:rPr>
        <w:rFonts w:ascii="Symbol" w:hAnsi="Symbol" w:hint="default"/>
      </w:rPr>
    </w:lvl>
    <w:lvl w:ilvl="1" w:tplc="200C0003" w:tentative="1">
      <w:start w:val="1"/>
      <w:numFmt w:val="bullet"/>
      <w:lvlText w:val="o"/>
      <w:lvlJc w:val="left"/>
      <w:pPr>
        <w:ind w:left="2952" w:hanging="360"/>
      </w:pPr>
      <w:rPr>
        <w:rFonts w:ascii="Courier New" w:hAnsi="Courier New" w:cs="Courier New" w:hint="default"/>
      </w:rPr>
    </w:lvl>
    <w:lvl w:ilvl="2" w:tplc="200C0005" w:tentative="1">
      <w:start w:val="1"/>
      <w:numFmt w:val="bullet"/>
      <w:lvlText w:val=""/>
      <w:lvlJc w:val="left"/>
      <w:pPr>
        <w:ind w:left="3672" w:hanging="360"/>
      </w:pPr>
      <w:rPr>
        <w:rFonts w:ascii="Wingdings" w:hAnsi="Wingdings" w:hint="default"/>
      </w:rPr>
    </w:lvl>
    <w:lvl w:ilvl="3" w:tplc="200C0001" w:tentative="1">
      <w:start w:val="1"/>
      <w:numFmt w:val="bullet"/>
      <w:lvlText w:val=""/>
      <w:lvlJc w:val="left"/>
      <w:pPr>
        <w:ind w:left="4392" w:hanging="360"/>
      </w:pPr>
      <w:rPr>
        <w:rFonts w:ascii="Symbol" w:hAnsi="Symbol" w:hint="default"/>
      </w:rPr>
    </w:lvl>
    <w:lvl w:ilvl="4" w:tplc="200C0003" w:tentative="1">
      <w:start w:val="1"/>
      <w:numFmt w:val="bullet"/>
      <w:lvlText w:val="o"/>
      <w:lvlJc w:val="left"/>
      <w:pPr>
        <w:ind w:left="5112" w:hanging="360"/>
      </w:pPr>
      <w:rPr>
        <w:rFonts w:ascii="Courier New" w:hAnsi="Courier New" w:cs="Courier New" w:hint="default"/>
      </w:rPr>
    </w:lvl>
    <w:lvl w:ilvl="5" w:tplc="200C0005" w:tentative="1">
      <w:start w:val="1"/>
      <w:numFmt w:val="bullet"/>
      <w:lvlText w:val=""/>
      <w:lvlJc w:val="left"/>
      <w:pPr>
        <w:ind w:left="5832" w:hanging="360"/>
      </w:pPr>
      <w:rPr>
        <w:rFonts w:ascii="Wingdings" w:hAnsi="Wingdings" w:hint="default"/>
      </w:rPr>
    </w:lvl>
    <w:lvl w:ilvl="6" w:tplc="200C0001" w:tentative="1">
      <w:start w:val="1"/>
      <w:numFmt w:val="bullet"/>
      <w:lvlText w:val=""/>
      <w:lvlJc w:val="left"/>
      <w:pPr>
        <w:ind w:left="6552" w:hanging="360"/>
      </w:pPr>
      <w:rPr>
        <w:rFonts w:ascii="Symbol" w:hAnsi="Symbol" w:hint="default"/>
      </w:rPr>
    </w:lvl>
    <w:lvl w:ilvl="7" w:tplc="200C0003" w:tentative="1">
      <w:start w:val="1"/>
      <w:numFmt w:val="bullet"/>
      <w:lvlText w:val="o"/>
      <w:lvlJc w:val="left"/>
      <w:pPr>
        <w:ind w:left="7272" w:hanging="360"/>
      </w:pPr>
      <w:rPr>
        <w:rFonts w:ascii="Courier New" w:hAnsi="Courier New" w:cs="Courier New" w:hint="default"/>
      </w:rPr>
    </w:lvl>
    <w:lvl w:ilvl="8" w:tplc="200C0005" w:tentative="1">
      <w:start w:val="1"/>
      <w:numFmt w:val="bullet"/>
      <w:lvlText w:val=""/>
      <w:lvlJc w:val="left"/>
      <w:pPr>
        <w:ind w:left="7992" w:hanging="360"/>
      </w:pPr>
      <w:rPr>
        <w:rFonts w:ascii="Wingdings" w:hAnsi="Wingdings" w:hint="default"/>
      </w:rPr>
    </w:lvl>
  </w:abstractNum>
  <w:abstractNum w:abstractNumId="2" w15:restartNumberingAfterBreak="0">
    <w:nsid w:val="2B3F51C8"/>
    <w:multiLevelType w:val="multilevel"/>
    <w:tmpl w:val="781C4E8A"/>
    <w:lvl w:ilvl="0">
      <w:numFmt w:val="bullet"/>
      <w:lvlText w:val="-"/>
      <w:lvlJc w:val="left"/>
      <w:pPr>
        <w:tabs>
          <w:tab w:val="left" w:pos="144"/>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2104B73"/>
    <w:multiLevelType w:val="multilevel"/>
    <w:tmpl w:val="9DA2B96C"/>
    <w:lvl w:ilvl="0">
      <w:numFmt w:val="bullet"/>
      <w:lvlText w:val="-"/>
      <w:lvlJc w:val="left"/>
      <w:pPr>
        <w:tabs>
          <w:tab w:val="left" w:pos="756"/>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8AC6A51"/>
    <w:multiLevelType w:val="multilevel"/>
    <w:tmpl w:val="0A6C19AE"/>
    <w:lvl w:ilvl="0">
      <w:numFmt w:val="bullet"/>
      <w:lvlText w:val="·"/>
      <w:lvlJc w:val="left"/>
      <w:pPr>
        <w:tabs>
          <w:tab w:val="left" w:pos="360"/>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CE43AAB"/>
    <w:multiLevelType w:val="multilevel"/>
    <w:tmpl w:val="C97E627A"/>
    <w:lvl w:ilvl="0">
      <w:numFmt w:val="bullet"/>
      <w:lvlText w:val="·"/>
      <w:lvlJc w:val="left"/>
      <w:pPr>
        <w:tabs>
          <w:tab w:val="left" w:pos="288"/>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1608269">
    <w:abstractNumId w:val="5"/>
  </w:num>
  <w:num w:numId="2" w16cid:durableId="1739984276">
    <w:abstractNumId w:val="0"/>
  </w:num>
  <w:num w:numId="3" w16cid:durableId="1828670808">
    <w:abstractNumId w:val="2"/>
  </w:num>
  <w:num w:numId="4" w16cid:durableId="1349284980">
    <w:abstractNumId w:val="4"/>
  </w:num>
  <w:num w:numId="5" w16cid:durableId="1371490275">
    <w:abstractNumId w:val="3"/>
  </w:num>
  <w:num w:numId="6" w16cid:durableId="1773816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E1"/>
    <w:rsid w:val="000F4505"/>
    <w:rsid w:val="002723E1"/>
    <w:rsid w:val="0033168F"/>
    <w:rsid w:val="00453BC2"/>
    <w:rsid w:val="00460A36"/>
    <w:rsid w:val="006E53A4"/>
    <w:rsid w:val="00711EF3"/>
    <w:rsid w:val="007A5A68"/>
    <w:rsid w:val="007F7315"/>
    <w:rsid w:val="00954466"/>
    <w:rsid w:val="009F1CE5"/>
    <w:rsid w:val="00B705A0"/>
    <w:rsid w:val="00CB1297"/>
    <w:rsid w:val="00D51D6B"/>
    <w:rsid w:val="00DF50DE"/>
    <w:rsid w:val="00F07EB3"/>
  </w:rsids>
  <m:mathPr>
    <m:mathFont m:val="Cambria Math"/>
    <m:brkBin m:val="before"/>
    <m:brkBinSub m:val="--"/>
    <m:smallFrac m:val="0"/>
    <m:dispDef/>
    <m:lMargin m:val="0"/>
    <m:rMargin m:val="0"/>
    <m:defJc m:val="centerGroup"/>
    <m:wrapIndent m:val="1440"/>
    <m:intLim m:val="subSup"/>
    <m:naryLim m:val="undOvr"/>
  </m:mathPr>
  <w:themeFontLang w:val="fr-R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E65A3"/>
  <w15:docId w15:val="{FF9EC20F-871B-4462-9475-3A57EC34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F7315"/>
    <w:rPr>
      <w:color w:val="467886" w:themeColor="hyperlink"/>
      <w:u w:val="single"/>
    </w:rPr>
  </w:style>
  <w:style w:type="character" w:styleId="Mentionnonrsolue">
    <w:name w:val="Unresolved Mention"/>
    <w:basedOn w:val="Policepardfaut"/>
    <w:uiPriority w:val="99"/>
    <w:semiHidden/>
    <w:unhideWhenUsed/>
    <w:rsid w:val="007F7315"/>
    <w:rPr>
      <w:color w:val="605E5C"/>
      <w:shd w:val="clear" w:color="auto" w:fill="E1DFDD"/>
    </w:rPr>
  </w:style>
  <w:style w:type="paragraph" w:styleId="En-tte">
    <w:name w:val="header"/>
    <w:basedOn w:val="Normal"/>
    <w:link w:val="En-tteCar"/>
    <w:uiPriority w:val="99"/>
    <w:unhideWhenUsed/>
    <w:rsid w:val="007F7315"/>
    <w:pPr>
      <w:tabs>
        <w:tab w:val="center" w:pos="4536"/>
        <w:tab w:val="right" w:pos="9072"/>
      </w:tabs>
    </w:pPr>
  </w:style>
  <w:style w:type="character" w:customStyle="1" w:styleId="En-tteCar">
    <w:name w:val="En-tête Car"/>
    <w:basedOn w:val="Policepardfaut"/>
    <w:link w:val="En-tte"/>
    <w:uiPriority w:val="99"/>
    <w:rsid w:val="007F7315"/>
  </w:style>
  <w:style w:type="paragraph" w:styleId="Pieddepage">
    <w:name w:val="footer"/>
    <w:basedOn w:val="Normal"/>
    <w:link w:val="PieddepageCar"/>
    <w:uiPriority w:val="99"/>
    <w:unhideWhenUsed/>
    <w:rsid w:val="007F7315"/>
    <w:pPr>
      <w:tabs>
        <w:tab w:val="center" w:pos="4536"/>
        <w:tab w:val="right" w:pos="9072"/>
      </w:tabs>
    </w:pPr>
  </w:style>
  <w:style w:type="character" w:customStyle="1" w:styleId="PieddepageCar">
    <w:name w:val="Pied de page Car"/>
    <w:basedOn w:val="Policepardfaut"/>
    <w:link w:val="Pieddepage"/>
    <w:uiPriority w:val="99"/>
    <w:rsid w:val="007F7315"/>
  </w:style>
  <w:style w:type="paragraph" w:styleId="Paragraphedeliste">
    <w:name w:val="List Paragraph"/>
    <w:basedOn w:val="Normal"/>
    <w:uiPriority w:val="34"/>
    <w:qFormat/>
    <w:rsid w:val="00954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88066">
      <w:bodyDiv w:val="1"/>
      <w:marLeft w:val="0"/>
      <w:marRight w:val="0"/>
      <w:marTop w:val="0"/>
      <w:marBottom w:val="0"/>
      <w:divBdr>
        <w:top w:val="none" w:sz="0" w:space="0" w:color="auto"/>
        <w:left w:val="none" w:sz="0" w:space="0" w:color="auto"/>
        <w:bottom w:val="none" w:sz="0" w:space="0" w:color="auto"/>
        <w:right w:val="none" w:sz="0" w:space="0" w:color="auto"/>
      </w:divBdr>
    </w:div>
    <w:div w:id="738984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office.incana@notaires.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864</Words>
  <Characters>4758</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Yasmina INCANA</dc:creator>
  <cp:lastModifiedBy>Maître Yasmina INCANA</cp:lastModifiedBy>
  <cp:revision>5</cp:revision>
  <cp:lastPrinted>2025-12-30T09:39:00Z</cp:lastPrinted>
  <dcterms:created xsi:type="dcterms:W3CDTF">2025-12-30T09:18:00Z</dcterms:created>
  <dcterms:modified xsi:type="dcterms:W3CDTF">2025-12-30T09:40:00Z</dcterms:modified>
</cp:coreProperties>
</file>