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14213D" w:sz="0"/>
          <w:left w:val="none" w:color="14213D" w:sz="0"/>
          <w:bottom w:val="none" w:color="14213D" w:sz="0"/>
          <w:right w:val="none" w:color="14213D" w:sz="0"/>
          <w:insideH w:val="none" w:color="14213D" w:sz="0"/>
          <w:insideV w:val="none" w:color="14213D" w:sz="0"/>
        </w:tblBorders>
        <w:tblLayout w:type="fixed"/>
      </w:tblPr>
      <w:tblGrid>
        <w:gridCol w:w="100"/>
      </w:tblGrid>
      <w:tr>
        <w:trPr>
          <w:trHeight w:val="10943" w:hRule="atLeast"/>
        </w:trPr>
        <w:tc>
          <w:tcPr>
            <w:tcW w:type="pct" w:w="100%"/>
            <w:shd w:fill="14213D" w:val="clear"/>
            <w:tcMar>
              <w:top w:type="dxa" w:w="200"/>
              <w:left w:type="dxa" w:w="300"/>
              <w:bottom w:type="dxa" w:w="200"/>
              <w:right w:type="dxa" w:w="300"/>
            </w:tcMar>
            <w:vAlign w:val="center"/>
          </w:tcPr>
          <w:p>
            <w:pPr>
              <w:spacing w:before="26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before="200"/>
              <w:jc w:val="center"/>
            </w:pPr>
            <w:r>
              <w:rPr>
                <w:rFonts w:ascii="Calibri" w:cs="Calibri" w:eastAsia="Calibri" w:hAnsi="Calibri"/>
                <w:b/>
                <w:bCs/>
                <w:color w:val="D9C27E"/>
                <w:sz w:val="16"/>
                <w:szCs w:val="16"/>
              </w:rPr>
              <w:t xml:space="preserve">A C C A   P R O F E S S I O N A L   Q U A L I F I C A T I O N</w:t>
            </w:r>
          </w:p>
          <w:p>
            <w:pPr>
              <w:spacing w:before="220"/>
              <w:jc w:val="center"/>
            </w:pPr>
            <w:r>
              <w:rPr>
                <w:rFonts w:ascii="Cambria" w:cs="Cambria" w:eastAsia="Cambria" w:hAnsi="Cambria"/>
                <w:b/>
                <w:bCs/>
                <w:color w:val="FFFFFF"/>
                <w:sz w:val="84"/>
                <w:szCs w:val="84"/>
              </w:rPr>
              <w:t xml:space="preserve">MATERIALITY</w:t>
            </w:r>
          </w:p>
          <w:p>
            <w:pPr>
              <w:bidi/>
              <w:spacing w:before="100"/>
              <w:jc w:val="center"/>
            </w:pPr>
            <w:r>
              <w:rPr>
                <w:rFonts w:ascii="Arial" w:cs="Arial" w:eastAsia="Arial" w:hAnsi="Arial"/>
                <w:b/>
                <w:bCs/>
                <w:color w:val="FFFFFF"/>
                <w:sz w:val="50"/>
                <w:szCs w:val="50"/>
              </w:rPr>
              <w:t xml:space="preserve">الأهمية النسبية</w:t>
            </w:r>
          </w:p>
          <w:p>
            <w:pPr>
              <w:spacing w:before="160"/>
              <w:jc w:val="center"/>
            </w:pPr>
            <w:r>
              <w:rPr>
                <w:rFonts w:ascii="Calibri" w:cs="Calibri" w:eastAsia="Calibri" w:hAnsi="Calibri"/>
                <w:b/>
                <w:bCs/>
                <w:color w:val="D9C27E"/>
                <w:sz w:val="22"/>
                <w:szCs w:val="22"/>
              </w:rPr>
              <w:t xml:space="preserve">THE AUDIT COMPANION</w:t>
            </w:r>
          </w:p>
          <w:p>
            <w:pPr>
              <w:bidi/>
              <w:spacing w:before="60"/>
              <w:jc w:val="center"/>
            </w:pPr>
            <w:r>
              <w:rPr>
                <w:rFonts w:ascii="Arial" w:cs="Arial" w:eastAsia="Arial" w:hAnsi="Arial"/>
                <w:color w:val="D9C27E"/>
                <w:sz w:val="20"/>
                <w:szCs w:val="20"/>
              </w:rPr>
              <w:t xml:space="preserve">دليل التدقيق الشامل</w:t>
            </w:r>
          </w:p>
          <w:p>
            <w:pPr>
              <w:spacing w:before="500"/>
              <w:jc w:val="center"/>
            </w:pPr>
            <w:r>
              <w:rPr>
                <w:rFonts w:ascii="Cambria" w:cs="Cambria" w:eastAsia="Cambria" w:hAnsi="Cambria"/>
                <w:b/>
                <w:bCs/>
                <w:color w:val="D9C27E"/>
                <w:sz w:val="30"/>
                <w:szCs w:val="30"/>
              </w:rPr>
              <w:t xml:space="preserve">AA</w:t>
            </w:r>
            <w:r>
              <w:rPr>
                <w:rFonts w:ascii="Calibri" w:cs="Calibri" w:eastAsia="Calibri" w:hAnsi="Calibri"/>
                <w:color w:val="FFFFFF"/>
                <w:sz w:val="22"/>
                <w:szCs w:val="22"/>
              </w:rPr>
              <w:t xml:space="preserve">   ·   Audit and Assurance</w:t>
            </w:r>
          </w:p>
          <w:p>
            <w:pPr>
              <w:spacing w:before="100"/>
              <w:jc w:val="center"/>
            </w:pPr>
            <w:r>
              <w:rPr>
                <w:rFonts w:ascii="Cambria" w:cs="Cambria" w:eastAsia="Cambria" w:hAnsi="Cambria"/>
                <w:b/>
                <w:bCs/>
                <w:color w:val="D9C27E"/>
                <w:sz w:val="30"/>
                <w:szCs w:val="30"/>
              </w:rPr>
              <w:t xml:space="preserve">AAA</w:t>
            </w:r>
            <w:r>
              <w:rPr>
                <w:rFonts w:ascii="Calibri" w:cs="Calibri" w:eastAsia="Calibri" w:hAnsi="Calibri"/>
                <w:color w:val="FFFFFF"/>
                <w:sz w:val="22"/>
                <w:szCs w:val="22"/>
              </w:rPr>
              <w:t xml:space="preserve">   ·   Advanced Audit and Assurance</w:t>
            </w:r>
          </w:p>
          <w:p>
            <w:pPr>
              <w:spacing w:after="400" w:before="500"/>
              <w:jc w:val="center"/>
            </w:pPr>
            <w:r>
              <w:rPr>
                <w:rFonts w:ascii="Calibri" w:cs="Calibri" w:eastAsia="Calibri" w:hAnsi="Calibri"/>
                <w:b/>
                <w:bCs/>
                <w:color w:val="D9C27E"/>
                <w:sz w:val="16"/>
                <w:szCs w:val="16"/>
              </w:rPr>
              <w:t xml:space="preserve">BILINGUAL STUDY NOTES  ·  KEY ISA REFERENCE  ·  MOCK EXAMS</w:t>
            </w:r>
          </w:p>
        </w:tc>
      </w:tr>
    </w:tbl>
    <w:p>
      <w:pPr>
        <w:spacing w:before="260"/>
        <w:jc w:val="center"/>
      </w:pPr>
      <w:r>
        <w:rPr>
          <w:rFonts w:ascii="Calibri" w:cs="Calibri" w:eastAsia="Calibri" w:hAnsi="Calibri"/>
          <w:i/>
          <w:iCs/>
          <w:color w:val="5B6472"/>
          <w:sz w:val="18"/>
          <w:szCs w:val="18"/>
        </w:rPr>
        <w:t xml:space="preserve">Prepared as a revision companion for candidates studying towards the ACCA qualification.</w:t>
      </w:r>
    </w:p>
    <w:p>
      <w:pPr>
        <w:bidi/>
        <w:spacing w:before="60"/>
        <w:jc w:val="center"/>
      </w:pPr>
      <w:r>
        <w:rPr>
          <w:rFonts w:ascii="Arial" w:cs="Arial" w:eastAsia="Arial" w:hAnsi="Arial"/>
          <w:i/>
          <w:iCs/>
          <w:color w:val="5B6472"/>
          <w:sz w:val="18"/>
          <w:szCs w:val="18"/>
        </w:rPr>
        <w:t xml:space="preserve">إعداد كدليل مراجعة للمرشحين الدارسين لشهادة ACCA المهنية.</w:t>
      </w:r>
    </w:p>
    <w:p>
      <w:r>
        <w:br w:type="page"/>
      </w:r>
    </w:p>
    <w:p>
      <w:pPr>
        <w:spacing w:after="40" w:before="200"/>
      </w:pPr>
      <w:r>
        <w:rPr>
          <w:rFonts w:ascii="Cambria" w:cs="Cambria" w:eastAsia="Cambria" w:hAnsi="Cambria"/>
          <w:b/>
          <w:bCs/>
          <w:color w:val="14213D"/>
          <w:sz w:val="34"/>
          <w:szCs w:val="34"/>
        </w:rPr>
        <w:t xml:space="preserve">Table of Contents</w:t>
      </w:r>
    </w:p>
    <w:p>
      <w:pPr>
        <w:bidi/>
        <w:spacing w:after="260"/>
        <w:jc w:val="right"/>
      </w:pPr>
      <w:r>
        <w:rPr>
          <w:rFonts w:ascii="Arial" w:cs="Arial" w:eastAsia="Arial" w:hAnsi="Arial"/>
          <w:b/>
          <w:bCs/>
          <w:color w:val="14213D"/>
          <w:sz w:val="28"/>
          <w:szCs w:val="28"/>
        </w:rPr>
        <w:t xml:space="preserve">فهرس المحتويات</w:t>
      </w:r>
    </w:p>
    <w:p>
      <w:pPr>
        <w:pBdr>
          <w:bottom w:val="single" w:color="B8912F" w:sz="8" w:space="1"/>
        </w:pBdr>
        <w:spacing w:after="40" w:before="40"/>
        <w:jc w:val="center"/>
      </w:pPr>
      <w:r>
        <w:rPr>
          <w:sz w:val="2"/>
          <w:szCs w:val="2"/>
        </w:rPr>
        <w:t xml:space="preserve"/>
      </w:r>
    </w:p>
    <w:sdt>
      <w:sdtPr>
        <w:alias w:val="Contents"/>
      </w:sdtPr>
      <w:sdtContent>
        <w:p>
          <w:r>
            <w:fldChar w:fldCharType="begin" w:dirty="true"/>
            <w:instrText xml:space="preserve">TOC \h \o "1-2"</w:instrText>
            <w:fldChar w:fldCharType="separate"/>
          </w:r>
        </w:p>
        <w:p>
          <w:r>
            <w:fldChar w:fldCharType="end"/>
          </w:r>
        </w:p>
      </w:sdtContent>
    </w:sdt>
    <w:p>
      <w:pPr>
        <w:spacing w:before="160"/>
      </w:pPr>
      <w:r>
        <w:rPr>
          <w:rFonts w:ascii="Calibri" w:cs="Calibri" w:eastAsia="Calibri" w:hAnsi="Calibri"/>
          <w:i/>
          <w:iCs/>
          <w:color w:val="5B6472"/>
          <w:sz w:val="16"/>
          <w:szCs w:val="16"/>
        </w:rPr>
        <w:t xml:space="preserve">Right-click the table above and choose "Update Field" in Word to populate page numbers.</w:t>
      </w:r>
    </w:p>
    <w:p>
      <w:r>
        <w:br w:type="page"/>
      </w:r>
    </w:p>
    <w:p>
      <w:pPr>
        <w:spacing w:after="40" w:before="100"/>
      </w:pPr>
      <w:r>
        <w:rPr>
          <w:rFonts w:ascii="Cambria" w:cs="Cambria" w:eastAsia="Cambria" w:hAnsi="Cambria"/>
          <w:b/>
          <w:bCs/>
          <w:color w:val="14213D"/>
          <w:sz w:val="32"/>
          <w:szCs w:val="32"/>
        </w:rPr>
        <w:t xml:space="preserve">How to Use This Book</w:t>
      </w:r>
    </w:p>
    <w:p>
      <w:pPr>
        <w:bidi/>
        <w:spacing w:after="200"/>
        <w:jc w:val="right"/>
      </w:pPr>
      <w:r>
        <w:rPr>
          <w:rFonts w:ascii="Arial" w:cs="Arial" w:eastAsia="Arial" w:hAnsi="Arial"/>
          <w:b/>
          <w:bCs/>
          <w:color w:val="14213D"/>
          <w:sz w:val="26"/>
          <w:szCs w:val="26"/>
        </w:rPr>
        <w:t xml:space="preserve">كيفية استخدام هذا الكتاب</w:t>
      </w:r>
    </w:p>
    <w:p>
      <w:pPr>
        <w:pBdr>
          <w:bottom w:val="single" w:color="B8912F" w:sz="8" w:space="1"/>
        </w:pBdr>
        <w:spacing w:after="40" w:before="40"/>
        <w:jc w:val="center"/>
      </w:pPr>
      <w:r>
        <w:rPr>
          <w:sz w:val="2"/>
          <w:szCs w:val="2"/>
        </w:rPr>
        <w:t xml:space="preserve"/>
      </w:r>
    </w:p>
    <w:p>
      <w:pPr>
        <w:pStyle w:val="Heading1"/>
        <w:pBdr>
          <w:left w:val="single" w:color="1F3864" w:sz="24" w:space="8"/>
        </w:pBdr>
        <w:spacing w:after="40" w:before="340"/>
        <w:ind w:left="120"/>
      </w:pPr>
      <w:r>
        <w:rPr>
          <w:rFonts w:ascii="Cambria" w:cs="Cambria" w:eastAsia="Cambria" w:hAnsi="Cambria"/>
          <w:b/>
          <w:bCs/>
          <w:color w:val="1F3864"/>
        </w:rPr>
        <w:t xml:space="preserve">How to Use This Book</w:t>
      </w:r>
    </w:p>
    <w:p>
      <w:pPr>
        <w:bidi/>
        <w:spacing w:after="180"/>
        <w:jc w:val="right"/>
      </w:pPr>
      <w:r>
        <w:rPr>
          <w:rFonts w:ascii="Arial" w:cs="Arial" w:eastAsia="Arial" w:hAnsi="Arial"/>
          <w:b/>
          <w:bCs/>
          <w:color w:val="1F3864"/>
          <w:sz w:val="24"/>
          <w:szCs w:val="24"/>
        </w:rPr>
        <w:t xml:space="preserve">كيفية استخدام هذا الكتاب</w:t>
      </w:r>
    </w:p>
    <w:p>
      <w:pPr>
        <w:spacing w:after="160" w:line="300"/>
      </w:pPr>
      <w:r>
        <w:rPr>
          <w:rFonts w:ascii="Calibri" w:cs="Calibri" w:eastAsia="Calibri" w:hAnsi="Calibri"/>
          <w:sz w:val="25"/>
          <w:szCs w:val="25"/>
        </w:rPr>
        <w:t xml:space="preserve">This guide condenses the ACCA Audit and Assurance (AA) and Advanced Audit and Assurance (AAA) syllabuses into short, exam-focused notes. Each topic is explained in plain English with an Arabic translation beside it, so you can study in whichever language is clearer for you at that moment.</w:t>
      </w:r>
    </w:p>
    <w:p>
      <w:pPr>
        <w:bidi/>
        <w:spacing w:after="260" w:line="340"/>
        <w:jc w:val="right"/>
      </w:pPr>
      <w:r>
        <w:rPr>
          <w:rFonts w:ascii="Arial" w:cs="Arial" w:eastAsia="Arial" w:hAnsi="Arial"/>
          <w:sz w:val="26"/>
          <w:szCs w:val="26"/>
        </w:rPr>
        <w:t xml:space="preserve">يقدّم هذا الدليل ملخصاً مركّزاً لمنهجي مادتي التدقيق والضمان (AA) والتدقيق المتقدم والضمان (AAA) في ACCA، بأسلوب مبسّط موجّه نحو الامتحان. يُشرح كل موضوع بلغة إنجليزية سهلة مع ترجمة عربية بجانبه، لتتمكن من الدراسة باللغة الأنسب لك في أي لحظة.</w:t>
      </w:r>
    </w:p>
    <w:p>
      <w:pPr>
        <w:spacing w:after="160" w:line="300"/>
      </w:pPr>
      <w:r>
        <w:rPr>
          <w:rFonts w:ascii="Calibri" w:cs="Calibri" w:eastAsia="Calibri" w:hAnsi="Calibri"/>
          <w:sz w:val="25"/>
          <w:szCs w:val="25"/>
        </w:rPr>
        <w:t xml:space="preserve">AA is the Applied Skills level paper — it covers the fundamentals of an audit engagement from planning to reporting. AAA is the Strategic Professional level paper — it builds on AA with more complex, judgement-based scenarios such as group audits, ethics dilemmas, and reporting issues.</w:t>
      </w:r>
    </w:p>
    <w:p>
      <w:pPr>
        <w:bidi/>
        <w:spacing w:after="260" w:line="340"/>
        <w:jc w:val="right"/>
      </w:pPr>
      <w:r>
        <w:rPr>
          <w:rFonts w:ascii="Arial" w:cs="Arial" w:eastAsia="Arial" w:hAnsi="Arial"/>
          <w:sz w:val="26"/>
          <w:szCs w:val="26"/>
        </w:rPr>
        <w:t xml:space="preserve">مادة AA هي مادة مستوى Applied Skills، وتغطي أساسيات عملية التدقيق من التخطيط حتى إعداد التقرير. أما مادة AAA فهي مادة مستوى Strategic Professional، وتبني على أساسيات AA لكن بسيناريوهات أكثر تعقيداً وتتطلب حكماً مهنياً أعمق، مثل تدقيق المجموعات، معضلات الأخلاقيات المهنية، ومشكلات التقارير.</w:t>
      </w:r>
    </w:p>
    <w:p>
      <w:pPr>
        <w:pStyle w:val="ListParagraph"/>
        <w:numPr>
          <w:ilvl w:val="0"/>
          <w:numId w:val="2"/>
        </w:numPr>
        <w:spacing w:after="60" w:line="300"/>
      </w:pPr>
      <w:r>
        <w:rPr>
          <w:rFonts w:ascii="Calibri" w:cs="Calibri" w:eastAsia="Calibri" w:hAnsi="Calibri"/>
          <w:sz w:val="23"/>
          <w:szCs w:val="23"/>
        </w:rPr>
        <w:t xml:space="preserve">Read the short summary of each topic, then the bullet points — these are what examiners test most often.</w:t>
      </w:r>
    </w:p>
    <w:p>
      <w:pPr>
        <w:pStyle w:val="ListParagraph"/>
        <w:numPr>
          <w:ilvl w:val="0"/>
          <w:numId w:val="2"/>
        </w:numPr>
        <w:bidi/>
        <w:spacing w:after="170" w:line="320"/>
        <w:jc w:val="right"/>
      </w:pPr>
      <w:r>
        <w:rPr>
          <w:rFonts w:ascii="Arial" w:cs="Arial" w:eastAsia="Arial" w:hAnsi="Arial"/>
          <w:color w:val="5B6472"/>
          <w:sz w:val="24"/>
          <w:szCs w:val="24"/>
        </w:rPr>
        <w:t xml:space="preserve">اقرأ الملخص القصير لكل موضوع، ثم النقاط الأساسية — فهي الأكثر ورودًا في الامتحانات.</w:t>
      </w:r>
    </w:p>
    <w:p>
      <w:pPr>
        <w:pStyle w:val="ListParagraph"/>
        <w:numPr>
          <w:ilvl w:val="0"/>
          <w:numId w:val="2"/>
        </w:numPr>
        <w:spacing w:after="60" w:line="300"/>
      </w:pPr>
      <w:r>
        <w:rPr>
          <w:rFonts w:ascii="Calibri" w:cs="Calibri" w:eastAsia="Calibri" w:hAnsi="Calibri"/>
          <w:sz w:val="23"/>
          <w:szCs w:val="23"/>
        </w:rPr>
        <w:t xml:space="preserve">Each Part ends with a mock exam. Attempt it under timed conditions before checking the answers.</w:t>
      </w:r>
    </w:p>
    <w:p>
      <w:pPr>
        <w:pStyle w:val="ListParagraph"/>
        <w:numPr>
          <w:ilvl w:val="0"/>
          <w:numId w:val="2"/>
        </w:numPr>
        <w:bidi/>
        <w:spacing w:after="170" w:line="320"/>
        <w:jc w:val="right"/>
      </w:pPr>
      <w:r>
        <w:rPr>
          <w:rFonts w:ascii="Arial" w:cs="Arial" w:eastAsia="Arial" w:hAnsi="Arial"/>
          <w:color w:val="5B6472"/>
          <w:sz w:val="24"/>
          <w:szCs w:val="24"/>
        </w:rPr>
        <w:t xml:space="preserve">ينتهي كل جزء بامتحان تجريبي. حاول حله تحت ظرف زمني محدد قبل مراجعة الإجابات.</w:t>
      </w:r>
    </w:p>
    <w:p>
      <w:pPr>
        <w:pStyle w:val="ListParagraph"/>
        <w:numPr>
          <w:ilvl w:val="0"/>
          <w:numId w:val="2"/>
        </w:numPr>
        <w:spacing w:after="60" w:line="300"/>
      </w:pPr>
      <w:r>
        <w:rPr>
          <w:rFonts w:ascii="Calibri" w:cs="Calibri" w:eastAsia="Calibri" w:hAnsi="Calibri"/>
          <w:sz w:val="23"/>
          <w:szCs w:val="23"/>
        </w:rPr>
        <w:t xml:space="preserve">This book is a revision aid, not a replacement for the full ACCA syllabus and study text — always check the current syllabus (opentuition.com or ACCA Global) before your exam.</w:t>
      </w:r>
    </w:p>
    <w:p>
      <w:pPr>
        <w:pStyle w:val="ListParagraph"/>
        <w:numPr>
          <w:ilvl w:val="0"/>
          <w:numId w:val="2"/>
        </w:numPr>
        <w:bidi/>
        <w:spacing w:after="170" w:line="320"/>
        <w:jc w:val="right"/>
      </w:pPr>
      <w:r>
        <w:rPr>
          <w:rFonts w:ascii="Arial" w:cs="Arial" w:eastAsia="Arial" w:hAnsi="Arial"/>
          <w:color w:val="5B6472"/>
          <w:sz w:val="24"/>
          <w:szCs w:val="24"/>
        </w:rPr>
        <w:t xml:space="preserve">هذا الكتاب أداة مراجعة وليس بديلاً عن المنهج الكامل والمواد الدراسية الرسمية — تأكد دائماً من المنهج الحالي عبر موقع opentuition.com أو ACCA Global قبل الامتحان.</w:t>
      </w:r>
    </w:p>
    <w:p>
      <w:r>
        <w:br w:type="page"/>
      </w:r>
    </w:p>
    <w:p>
      <w:r>
        <w:br w:type="page"/>
      </w:r>
    </w:p>
    <w:tbl>
      <w:tblPr>
        <w:tblW w:type="pct" w:w="100%"/>
        <w:tblBorders>
          <w:top w:val="none" w:color="14213D" w:sz="0"/>
          <w:left w:val="none" w:color="14213D" w:sz="0"/>
          <w:bottom w:val="none" w:color="14213D" w:sz="0"/>
          <w:right w:val="none" w:color="14213D" w:sz="0"/>
          <w:insideH w:val="none" w:color="14213D" w:sz="0"/>
          <w:insideV w:val="none" w:color="14213D" w:sz="0"/>
        </w:tblBorders>
        <w:tblLayout w:type="fixed"/>
      </w:tblPr>
      <w:tblGrid>
        <w:gridCol w:w="100"/>
      </w:tblGrid>
      <w:tr>
        <w:trPr>
          <w:trHeight w:val="4608" w:hRule="atLeast"/>
        </w:trPr>
        <w:tc>
          <w:tcPr>
            <w:tcW w:type="pct" w:w="100%"/>
            <w:shd w:fill="14213D" w:val="clear"/>
            <w:tcMar>
              <w:top w:type="dxa" w:w="200"/>
              <w:left w:type="dxa" w:w="300"/>
              <w:bottom w:type="dxa" w:w="200"/>
              <w:right w:type="dxa" w:w="300"/>
            </w:tcMar>
            <w:vAlign w:val="center"/>
          </w:tcPr>
          <w:p>
            <w:pPr>
              <w:spacing w:before="200"/>
              <w:jc w:val="center"/>
            </w:pPr>
            <w:r>
              <w:rPr>
                <w:rFonts w:ascii="Calibri" w:cs="Calibri" w:eastAsia="Calibri" w:hAnsi="Calibri"/>
                <w:b/>
                <w:bCs/>
                <w:color w:val="D9C27E"/>
                <w:sz w:val="24"/>
                <w:szCs w:val="24"/>
              </w:rPr>
              <w:t xml:space="preserve">PART ONE</w:t>
            </w:r>
          </w:p>
          <w:p>
            <w:pPr>
              <w:bidi/>
              <w:spacing w:before="40"/>
              <w:jc w:val="center"/>
            </w:pPr>
            <w:r>
              <w:rPr>
                <w:rFonts w:ascii="Arial" w:cs="Arial" w:eastAsia="Arial" w:hAnsi="Arial"/>
                <w:b/>
                <w:bCs/>
                <w:color w:val="D9C27E"/>
                <w:sz w:val="22"/>
                <w:szCs w:val="22"/>
              </w:rPr>
              <w:t xml:space="preserve">الجزء الأول</w:t>
            </w:r>
          </w:p>
          <w:p>
            <w:pPr>
              <w:spacing w:before="260"/>
              <w:jc w:val="center"/>
            </w:pPr>
            <w:r>
              <w:rPr>
                <w:rFonts w:ascii="Cambria" w:cs="Cambria" w:eastAsia="Cambria" w:hAnsi="Cambria"/>
                <w:b/>
                <w:bCs/>
                <w:color w:val="FFFFFF"/>
                <w:sz w:val="46"/>
                <w:szCs w:val="46"/>
              </w:rPr>
              <w:t xml:space="preserve">AA — Audit and Assurance</w:t>
            </w:r>
          </w:p>
          <w:p>
            <w:pPr>
              <w:bidi/>
              <w:spacing w:after="200" w:before="100"/>
              <w:jc w:val="center"/>
            </w:pPr>
            <w:r>
              <w:rPr>
                <w:rFonts w:ascii="Arial" w:cs="Arial" w:eastAsia="Arial" w:hAnsi="Arial"/>
                <w:b/>
                <w:bCs/>
                <w:color w:val="FFFFFF"/>
                <w:sz w:val="34"/>
                <w:szCs w:val="34"/>
              </w:rPr>
              <w:t xml:space="preserve">AA — التدقيق والضمان</w:t>
            </w:r>
          </w:p>
        </w:tc>
      </w:tr>
    </w:tbl>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A: Audit Framework and Regulation</w:t>
      </w:r>
    </w:p>
    <w:p>
      <w:pPr>
        <w:bidi/>
        <w:spacing w:after="180"/>
        <w:jc w:val="right"/>
      </w:pPr>
      <w:r>
        <w:rPr>
          <w:rFonts w:ascii="Arial" w:cs="Arial" w:eastAsia="Arial" w:hAnsi="Arial"/>
          <w:b/>
          <w:bCs/>
          <w:color w:val="1F3864"/>
          <w:sz w:val="24"/>
          <w:szCs w:val="24"/>
        </w:rPr>
        <w:t xml:space="preserve">القسم أ: إطار وتنظيم التدقيق</w:t>
      </w:r>
    </w:p>
    <w:p>
      <w:pPr>
        <w:pStyle w:val="Heading2"/>
        <w:pBdr>
          <w:left w:val="single" w:color="1F3864" w:sz="24" w:space="8"/>
        </w:pBdr>
        <w:spacing w:after="40" w:before="340"/>
        <w:ind w:left="120"/>
      </w:pPr>
      <w:r>
        <w:rPr>
          <w:rFonts w:ascii="Cambria" w:cs="Cambria" w:eastAsia="Cambria" w:hAnsi="Cambria"/>
          <w:b/>
          <w:bCs/>
          <w:color w:val="1F3864"/>
        </w:rPr>
        <w:t xml:space="preserve">1. What Is an Audit?</w:t>
      </w:r>
    </w:p>
    <w:p>
      <w:pPr>
        <w:bidi/>
        <w:spacing w:after="180"/>
        <w:jc w:val="right"/>
      </w:pPr>
      <w:r>
        <w:rPr>
          <w:rFonts w:ascii="Arial" w:cs="Arial" w:eastAsia="Arial" w:hAnsi="Arial"/>
          <w:b/>
          <w:bCs/>
          <w:color w:val="1F3864"/>
          <w:sz w:val="24"/>
          <w:szCs w:val="24"/>
        </w:rPr>
        <w:t xml:space="preserve">١. ما هو التدقيق؟</w:t>
      </w:r>
    </w:p>
    <w:p>
      <w:pPr>
        <w:spacing w:after="160" w:line="300"/>
      </w:pPr>
      <w:r>
        <w:rPr>
          <w:rFonts w:ascii="Calibri" w:cs="Calibri" w:eastAsia="Calibri" w:hAnsi="Calibri"/>
          <w:sz w:val="25"/>
          <w:szCs w:val="25"/>
        </w:rPr>
        <w:t xml:space="preserve">An audit is an independent examination of financial statements that allows the auditor to express an opinion on whether they give a true and fair view (or are fairly presented) in accordance with an identified financial reporting framework.</w:t>
      </w:r>
    </w:p>
    <w:p>
      <w:pPr>
        <w:bidi/>
        <w:spacing w:after="260" w:line="340"/>
        <w:jc w:val="right"/>
      </w:pPr>
      <w:r>
        <w:rPr>
          <w:rFonts w:ascii="Arial" w:cs="Arial" w:eastAsia="Arial" w:hAnsi="Arial"/>
          <w:sz w:val="26"/>
          <w:szCs w:val="26"/>
        </w:rPr>
        <w:t xml:space="preserve">التدقيق هو فحص مستقل للقوائم المالية يمكّن المدقق من إبداء رأي حول ما إذا كانت هذه القوائم تعبّر بصدق وعدالة (أو معروضة بعدالة) وفقاً لإطار إعداد تقارير مالية محدد.</w:t>
      </w:r>
    </w:p>
    <w:p>
      <w:pPr>
        <w:pStyle w:val="Heading2"/>
        <w:pBdr>
          <w:left w:val="single" w:color="1F3864" w:sz="24" w:space="8"/>
        </w:pBdr>
        <w:spacing w:after="40" w:before="340"/>
        <w:ind w:left="120"/>
      </w:pPr>
      <w:r>
        <w:rPr>
          <w:rFonts w:ascii="Cambria" w:cs="Cambria" w:eastAsia="Cambria" w:hAnsi="Cambria"/>
          <w:b/>
          <w:bCs/>
          <w:color w:val="1F3864"/>
        </w:rPr>
        <w:t xml:space="preserve">2. Levels of Assurance</w:t>
      </w:r>
    </w:p>
    <w:p>
      <w:pPr>
        <w:bidi/>
        <w:spacing w:after="180"/>
        <w:jc w:val="right"/>
      </w:pPr>
      <w:r>
        <w:rPr>
          <w:rFonts w:ascii="Arial" w:cs="Arial" w:eastAsia="Arial" w:hAnsi="Arial"/>
          <w:b/>
          <w:bCs/>
          <w:color w:val="1F3864"/>
          <w:sz w:val="24"/>
          <w:szCs w:val="24"/>
        </w:rPr>
        <w:t xml:space="preserve">٢. مستويات الضمان (Assurance)</w:t>
      </w:r>
    </w:p>
    <w:p>
      <w:pPr>
        <w:pStyle w:val="ListParagraph"/>
        <w:numPr>
          <w:ilvl w:val="0"/>
          <w:numId w:val="2"/>
        </w:numPr>
        <w:spacing w:after="60" w:line="300"/>
      </w:pPr>
      <w:r>
        <w:rPr>
          <w:rFonts w:ascii="Calibri" w:cs="Calibri" w:eastAsia="Calibri" w:hAnsi="Calibri"/>
          <w:sz w:val="23"/>
          <w:szCs w:val="23"/>
        </w:rPr>
        <w:t xml:space="preserve">Reasonable assurance — external audit; high but not absolute confidence; opinion expressed positively ("in our opinion, the financial statements give a true and fair view").</w:t>
      </w:r>
    </w:p>
    <w:p>
      <w:pPr>
        <w:pStyle w:val="ListParagraph"/>
        <w:numPr>
          <w:ilvl w:val="0"/>
          <w:numId w:val="2"/>
        </w:numPr>
        <w:bidi/>
        <w:spacing w:after="170" w:line="320"/>
        <w:jc w:val="right"/>
      </w:pPr>
      <w:r>
        <w:rPr>
          <w:rFonts w:ascii="Arial" w:cs="Arial" w:eastAsia="Arial" w:hAnsi="Arial"/>
          <w:color w:val="5B6472"/>
          <w:sz w:val="24"/>
          <w:szCs w:val="24"/>
        </w:rPr>
        <w:t xml:space="preserve">ضمان معقول (Reasonable) — التدقيق الخارجي؛ ثقة عالية لكن ليست مطلقة؛ يُصاغ الرأي بشكل إيجابي مباشر.</w:t>
      </w:r>
    </w:p>
    <w:p>
      <w:pPr>
        <w:pStyle w:val="ListParagraph"/>
        <w:numPr>
          <w:ilvl w:val="0"/>
          <w:numId w:val="2"/>
        </w:numPr>
        <w:spacing w:after="60" w:line="300"/>
      </w:pPr>
      <w:r>
        <w:rPr>
          <w:rFonts w:ascii="Calibri" w:cs="Calibri" w:eastAsia="Calibri" w:hAnsi="Calibri"/>
          <w:sz w:val="23"/>
          <w:szCs w:val="23"/>
        </w:rPr>
        <w:t xml:space="preserve">Limited assurance — review engagements; lower level of work; opinion expressed negatively ("nothing has come to our attention that causes us to believe...").</w:t>
      </w:r>
    </w:p>
    <w:p>
      <w:pPr>
        <w:pStyle w:val="ListParagraph"/>
        <w:numPr>
          <w:ilvl w:val="0"/>
          <w:numId w:val="2"/>
        </w:numPr>
        <w:bidi/>
        <w:spacing w:after="170" w:line="320"/>
        <w:jc w:val="right"/>
      </w:pPr>
      <w:r>
        <w:rPr>
          <w:rFonts w:ascii="Arial" w:cs="Arial" w:eastAsia="Arial" w:hAnsi="Arial"/>
          <w:color w:val="5B6472"/>
          <w:sz w:val="24"/>
          <w:szCs w:val="24"/>
        </w:rPr>
        <w:t xml:space="preserve">ضمان محدود (Limited) — عمليات المراجعة (Review)؛ عمل أقل عمقاً؛ يُصاغ الرأي بشكل سلبي (لم يلفت انتباهنا ما يجعلنا نعتقد...).</w:t>
      </w:r>
    </w:p>
    <w:p>
      <w:pPr>
        <w:pStyle w:val="Heading2"/>
        <w:pBdr>
          <w:left w:val="single" w:color="1F3864" w:sz="24" w:space="8"/>
        </w:pBdr>
        <w:spacing w:after="40" w:before="340"/>
        <w:ind w:left="120"/>
      </w:pPr>
      <w:r>
        <w:rPr>
          <w:rFonts w:ascii="Cambria" w:cs="Cambria" w:eastAsia="Cambria" w:hAnsi="Cambria"/>
          <w:b/>
          <w:bCs/>
          <w:color w:val="1F3864"/>
        </w:rPr>
        <w:t xml:space="preserve">3. Appointment, Rights and Removal of Auditors</w:t>
      </w:r>
    </w:p>
    <w:p>
      <w:pPr>
        <w:bidi/>
        <w:spacing w:after="180"/>
        <w:jc w:val="right"/>
      </w:pPr>
      <w:r>
        <w:rPr>
          <w:rFonts w:ascii="Arial" w:cs="Arial" w:eastAsia="Arial" w:hAnsi="Arial"/>
          <w:b/>
          <w:bCs/>
          <w:color w:val="1F3864"/>
          <w:sz w:val="24"/>
          <w:szCs w:val="24"/>
        </w:rPr>
        <w:t xml:space="preserve">٣. تعيين المدققين وحقوقهم وعزلهم</w:t>
      </w:r>
    </w:p>
    <w:p>
      <w:pPr>
        <w:pStyle w:val="ListParagraph"/>
        <w:numPr>
          <w:ilvl w:val="0"/>
          <w:numId w:val="2"/>
        </w:numPr>
        <w:spacing w:after="60" w:line="300"/>
      </w:pPr>
      <w:r>
        <w:rPr>
          <w:rFonts w:ascii="Calibri" w:cs="Calibri" w:eastAsia="Calibri" w:hAnsi="Calibri"/>
          <w:sz w:val="23"/>
          <w:szCs w:val="23"/>
        </w:rPr>
        <w:t xml:space="preserve">Auditors are usually appointed by shareholders at the AGM; the first auditor may be appointed by directors.</w:t>
      </w:r>
    </w:p>
    <w:p>
      <w:pPr>
        <w:pStyle w:val="ListParagraph"/>
        <w:numPr>
          <w:ilvl w:val="0"/>
          <w:numId w:val="2"/>
        </w:numPr>
        <w:bidi/>
        <w:spacing w:after="170" w:line="320"/>
        <w:jc w:val="right"/>
      </w:pPr>
      <w:r>
        <w:rPr>
          <w:rFonts w:ascii="Arial" w:cs="Arial" w:eastAsia="Arial" w:hAnsi="Arial"/>
          <w:color w:val="5B6472"/>
          <w:sz w:val="24"/>
          <w:szCs w:val="24"/>
        </w:rPr>
        <w:t xml:space="preserve">عادة يُعيَّن المدققون من قِبل المساهمين في الاجتماع العام السنوي؛ ويمكن للمجلس تعيين أول مدقق.</w:t>
      </w:r>
    </w:p>
    <w:p>
      <w:pPr>
        <w:pStyle w:val="ListParagraph"/>
        <w:numPr>
          <w:ilvl w:val="0"/>
          <w:numId w:val="2"/>
        </w:numPr>
        <w:spacing w:after="60" w:line="300"/>
      </w:pPr>
      <w:r>
        <w:rPr>
          <w:rFonts w:ascii="Calibri" w:cs="Calibri" w:eastAsia="Calibri" w:hAnsi="Calibri"/>
          <w:sz w:val="23"/>
          <w:szCs w:val="23"/>
        </w:rPr>
        <w:t xml:space="preserve">Rights include access to books and records, and the right to receive information and explanations from management.</w:t>
      </w:r>
    </w:p>
    <w:p>
      <w:pPr>
        <w:pStyle w:val="ListParagraph"/>
        <w:numPr>
          <w:ilvl w:val="0"/>
          <w:numId w:val="2"/>
        </w:numPr>
        <w:bidi/>
        <w:spacing w:after="170" w:line="320"/>
        <w:jc w:val="right"/>
      </w:pPr>
      <w:r>
        <w:rPr>
          <w:rFonts w:ascii="Arial" w:cs="Arial" w:eastAsia="Arial" w:hAnsi="Arial"/>
          <w:color w:val="5B6472"/>
          <w:sz w:val="24"/>
          <w:szCs w:val="24"/>
        </w:rPr>
        <w:t xml:space="preserve">من حقوق المدقق الاطلاع على الدفاتر والسجلات، والحصول على المعلومات والإيضاحات من الإدارة.</w:t>
      </w:r>
    </w:p>
    <w:p>
      <w:pPr>
        <w:pStyle w:val="ListParagraph"/>
        <w:numPr>
          <w:ilvl w:val="0"/>
          <w:numId w:val="2"/>
        </w:numPr>
        <w:spacing w:after="60" w:line="300"/>
      </w:pPr>
      <w:r>
        <w:rPr>
          <w:rFonts w:ascii="Calibri" w:cs="Calibri" w:eastAsia="Calibri" w:hAnsi="Calibri"/>
          <w:sz w:val="23"/>
          <w:szCs w:val="23"/>
        </w:rPr>
        <w:t xml:space="preserve">Removal before the end of term requires a special resolution by shareholders; the auditor has the right to make representations.</w:t>
      </w:r>
    </w:p>
    <w:p>
      <w:pPr>
        <w:pStyle w:val="ListParagraph"/>
        <w:numPr>
          <w:ilvl w:val="0"/>
          <w:numId w:val="2"/>
        </w:numPr>
        <w:bidi/>
        <w:spacing w:after="170" w:line="320"/>
        <w:jc w:val="right"/>
      </w:pPr>
      <w:r>
        <w:rPr>
          <w:rFonts w:ascii="Arial" w:cs="Arial" w:eastAsia="Arial" w:hAnsi="Arial"/>
          <w:color w:val="5B6472"/>
          <w:sz w:val="24"/>
          <w:szCs w:val="24"/>
        </w:rPr>
        <w:t xml:space="preserve">عزل المدقق قبل انتهاء مدته يتطلب قراراً خاصاً من المساهمين، وللمدقق الحق في تقديم إيضاحات دفاعاً عن موقفه.</w:t>
      </w:r>
    </w:p>
    <w:p>
      <w:pPr>
        <w:pStyle w:val="Heading2"/>
        <w:pBdr>
          <w:left w:val="single" w:color="1F3864" w:sz="24" w:space="8"/>
        </w:pBdr>
        <w:spacing w:after="40" w:before="340"/>
        <w:ind w:left="120"/>
      </w:pPr>
      <w:r>
        <w:rPr>
          <w:rFonts w:ascii="Cambria" w:cs="Cambria" w:eastAsia="Cambria" w:hAnsi="Cambria"/>
          <w:b/>
          <w:bCs/>
          <w:color w:val="1F3864"/>
        </w:rPr>
        <w:t xml:space="preserve">4. Corporate Governance and Audit Committees</w:t>
      </w:r>
    </w:p>
    <w:p>
      <w:pPr>
        <w:bidi/>
        <w:spacing w:after="180"/>
        <w:jc w:val="right"/>
      </w:pPr>
      <w:r>
        <w:rPr>
          <w:rFonts w:ascii="Arial" w:cs="Arial" w:eastAsia="Arial" w:hAnsi="Arial"/>
          <w:b/>
          <w:bCs/>
          <w:color w:val="1F3864"/>
          <w:sz w:val="24"/>
          <w:szCs w:val="24"/>
        </w:rPr>
        <w:t xml:space="preserve">٤. حوكمة الشركات ولجان التدقيق</w:t>
      </w:r>
    </w:p>
    <w:p>
      <w:pPr>
        <w:spacing w:after="160" w:line="300"/>
      </w:pPr>
      <w:r>
        <w:rPr>
          <w:rFonts w:ascii="Calibri" w:cs="Calibri" w:eastAsia="Calibri" w:hAnsi="Calibri"/>
          <w:sz w:val="25"/>
          <w:szCs w:val="25"/>
        </w:rPr>
        <w:t xml:space="preserve">Good corporate governance requires an independent audit committee (mainly non-executive directors) that oversees financial reporting, internal control, and the relationship with the external auditor, including recommending appointment/removal and monitoring independence.</w:t>
      </w:r>
    </w:p>
    <w:p>
      <w:pPr>
        <w:bidi/>
        <w:spacing w:after="260" w:line="340"/>
        <w:jc w:val="right"/>
      </w:pPr>
      <w:r>
        <w:rPr>
          <w:rFonts w:ascii="Arial" w:cs="Arial" w:eastAsia="Arial" w:hAnsi="Arial"/>
          <w:sz w:val="26"/>
          <w:szCs w:val="26"/>
        </w:rPr>
        <w:t xml:space="preserve">تتطلب الحوكمة الرشيدة وجود لجنة تدقيق مستقلة (تتكون غالباً من أعضاء غير تنفيذيين) تُشرف على التقارير المالية والرقابة الداخلية والعلاقة مع المدقق الخارجي، بما في ذلك التوصية بالتعيين أو العزل ومراقبة الاستقلالية.</w:t>
      </w:r>
    </w:p>
    <w:p>
      <w:pPr>
        <w:pStyle w:val="Heading2"/>
        <w:pBdr>
          <w:left w:val="single" w:color="1F3864" w:sz="24" w:space="8"/>
        </w:pBdr>
        <w:spacing w:after="40" w:before="340"/>
        <w:ind w:left="120"/>
      </w:pPr>
      <w:r>
        <w:rPr>
          <w:rFonts w:ascii="Cambria" w:cs="Cambria" w:eastAsia="Cambria" w:hAnsi="Cambria"/>
          <w:b/>
          <w:bCs/>
          <w:color w:val="1F3864"/>
        </w:rPr>
        <w:t xml:space="preserve">5. Professional Ethics — IESBA Code</w:t>
      </w:r>
    </w:p>
    <w:p>
      <w:pPr>
        <w:bidi/>
        <w:spacing w:after="180"/>
        <w:jc w:val="right"/>
      </w:pPr>
      <w:r>
        <w:rPr>
          <w:rFonts w:ascii="Arial" w:cs="Arial" w:eastAsia="Arial" w:hAnsi="Arial"/>
          <w:b/>
          <w:bCs/>
          <w:color w:val="1F3864"/>
          <w:sz w:val="24"/>
          <w:szCs w:val="24"/>
        </w:rPr>
        <w:t xml:space="preserve">٥. الأخلاقيات المهنية — مدونة IESBA</w:t>
      </w:r>
    </w:p>
    <w:p>
      <w:pPr>
        <w:spacing w:after="160" w:line="300"/>
      </w:pPr>
      <w:r>
        <w:rPr>
          <w:rFonts w:ascii="Calibri" w:cs="Calibri" w:eastAsia="Calibri" w:hAnsi="Calibri"/>
          <w:sz w:val="25"/>
          <w:szCs w:val="25"/>
        </w:rPr>
        <w:t xml:space="preserve">The Code sets out five fundamental principles that every professional accountant must follow, and a conceptual framework for identifying and addressing threats to compliance with them.</w:t>
      </w:r>
    </w:p>
    <w:p>
      <w:pPr>
        <w:bidi/>
        <w:spacing w:after="260" w:line="340"/>
        <w:jc w:val="right"/>
      </w:pPr>
      <w:r>
        <w:rPr>
          <w:rFonts w:ascii="Arial" w:cs="Arial" w:eastAsia="Arial" w:hAnsi="Arial"/>
          <w:sz w:val="26"/>
          <w:szCs w:val="26"/>
        </w:rPr>
        <w:t xml:space="preserve">تحدد المدونة خمسة مبادئ أساسية يجب على كل محاسب مهني الالتزام بها، بالإضافة إلى إطار مفاهيمي لتحديد ومعالجة التهديدات التي قد تُخلّ بالالتزام بها.</w:t>
      </w:r>
    </w:p>
    <w:p>
      <w:pPr>
        <w:pStyle w:val="ListParagraph"/>
        <w:numPr>
          <w:ilvl w:val="0"/>
          <w:numId w:val="2"/>
        </w:numPr>
        <w:spacing w:after="60" w:line="300"/>
      </w:pPr>
      <w:r>
        <w:rPr>
          <w:rFonts w:ascii="Calibri" w:cs="Calibri" w:eastAsia="Calibri" w:hAnsi="Calibri"/>
          <w:sz w:val="23"/>
          <w:szCs w:val="23"/>
        </w:rPr>
        <w:t xml:space="preserve">Integrity — be straightforward and honest.</w:t>
      </w:r>
    </w:p>
    <w:p>
      <w:pPr>
        <w:pStyle w:val="ListParagraph"/>
        <w:numPr>
          <w:ilvl w:val="0"/>
          <w:numId w:val="2"/>
        </w:numPr>
        <w:bidi/>
        <w:spacing w:after="170" w:line="320"/>
        <w:jc w:val="right"/>
      </w:pPr>
      <w:r>
        <w:rPr>
          <w:rFonts w:ascii="Arial" w:cs="Arial" w:eastAsia="Arial" w:hAnsi="Arial"/>
          <w:color w:val="5B6472"/>
          <w:sz w:val="24"/>
          <w:szCs w:val="24"/>
        </w:rPr>
        <w:t xml:space="preserve">النزاهة — الصدق والاستقامة في التعامل.</w:t>
      </w:r>
    </w:p>
    <w:p>
      <w:pPr>
        <w:pStyle w:val="ListParagraph"/>
        <w:numPr>
          <w:ilvl w:val="0"/>
          <w:numId w:val="2"/>
        </w:numPr>
        <w:spacing w:after="60" w:line="300"/>
      </w:pPr>
      <w:r>
        <w:rPr>
          <w:rFonts w:ascii="Calibri" w:cs="Calibri" w:eastAsia="Calibri" w:hAnsi="Calibri"/>
          <w:sz w:val="23"/>
          <w:szCs w:val="23"/>
        </w:rPr>
        <w:t xml:space="preserve">Objectivity — do not let bias, conflict of interest, or undue influence override professional judgement.</w:t>
      </w:r>
    </w:p>
    <w:p>
      <w:pPr>
        <w:pStyle w:val="ListParagraph"/>
        <w:numPr>
          <w:ilvl w:val="0"/>
          <w:numId w:val="2"/>
        </w:numPr>
        <w:bidi/>
        <w:spacing w:after="170" w:line="320"/>
        <w:jc w:val="right"/>
      </w:pPr>
      <w:r>
        <w:rPr>
          <w:rFonts w:ascii="Arial" w:cs="Arial" w:eastAsia="Arial" w:hAnsi="Arial"/>
          <w:color w:val="5B6472"/>
          <w:sz w:val="24"/>
          <w:szCs w:val="24"/>
        </w:rPr>
        <w:t xml:space="preserve">الموضوعية — عدم السماح للتحيّز أو تعارض المصالح أو أي تأثير خارجي بالتحكم في الحكم المهني.</w:t>
      </w:r>
    </w:p>
    <w:p>
      <w:pPr>
        <w:pStyle w:val="ListParagraph"/>
        <w:numPr>
          <w:ilvl w:val="0"/>
          <w:numId w:val="2"/>
        </w:numPr>
        <w:spacing w:after="60" w:line="300"/>
      </w:pPr>
      <w:r>
        <w:rPr>
          <w:rFonts w:ascii="Calibri" w:cs="Calibri" w:eastAsia="Calibri" w:hAnsi="Calibri"/>
          <w:sz w:val="23"/>
          <w:szCs w:val="23"/>
        </w:rPr>
        <w:t xml:space="preserve">Professional competence and due care — maintain knowledge/skill and act diligently.</w:t>
      </w:r>
    </w:p>
    <w:p>
      <w:pPr>
        <w:pStyle w:val="ListParagraph"/>
        <w:numPr>
          <w:ilvl w:val="0"/>
          <w:numId w:val="2"/>
        </w:numPr>
        <w:bidi/>
        <w:spacing w:after="170" w:line="320"/>
        <w:jc w:val="right"/>
      </w:pPr>
      <w:r>
        <w:rPr>
          <w:rFonts w:ascii="Arial" w:cs="Arial" w:eastAsia="Arial" w:hAnsi="Arial"/>
          <w:color w:val="5B6472"/>
          <w:sz w:val="24"/>
          <w:szCs w:val="24"/>
        </w:rPr>
        <w:t xml:space="preserve">الكفاءة المهنية والعناية الواجبة — الحفاظ على المعرفة والمهارة والعمل بجدّية.</w:t>
      </w:r>
    </w:p>
    <w:p>
      <w:pPr>
        <w:pStyle w:val="ListParagraph"/>
        <w:numPr>
          <w:ilvl w:val="0"/>
          <w:numId w:val="2"/>
        </w:numPr>
        <w:spacing w:after="60" w:line="300"/>
      </w:pPr>
      <w:r>
        <w:rPr>
          <w:rFonts w:ascii="Calibri" w:cs="Calibri" w:eastAsia="Calibri" w:hAnsi="Calibri"/>
          <w:sz w:val="23"/>
          <w:szCs w:val="23"/>
        </w:rPr>
        <w:t xml:space="preserve">Confidentiality — do not disclose client information without proper authority, unless there is a legal or professional right/duty to do so.</w:t>
      </w:r>
    </w:p>
    <w:p>
      <w:pPr>
        <w:pStyle w:val="ListParagraph"/>
        <w:numPr>
          <w:ilvl w:val="0"/>
          <w:numId w:val="2"/>
        </w:numPr>
        <w:bidi/>
        <w:spacing w:after="170" w:line="320"/>
        <w:jc w:val="right"/>
      </w:pPr>
      <w:r>
        <w:rPr>
          <w:rFonts w:ascii="Arial" w:cs="Arial" w:eastAsia="Arial" w:hAnsi="Arial"/>
          <w:color w:val="5B6472"/>
          <w:sz w:val="24"/>
          <w:szCs w:val="24"/>
        </w:rPr>
        <w:t xml:space="preserve">السرية — عدم إفشاء معلومات العميل دون إذن، إلا إذا كان هناك حق أو واجب قانوني/مهني بذلك.</w:t>
      </w:r>
    </w:p>
    <w:p>
      <w:pPr>
        <w:pStyle w:val="ListParagraph"/>
        <w:numPr>
          <w:ilvl w:val="0"/>
          <w:numId w:val="2"/>
        </w:numPr>
        <w:spacing w:after="60" w:line="300"/>
      </w:pPr>
      <w:r>
        <w:rPr>
          <w:rFonts w:ascii="Calibri" w:cs="Calibri" w:eastAsia="Calibri" w:hAnsi="Calibri"/>
          <w:sz w:val="23"/>
          <w:szCs w:val="23"/>
        </w:rPr>
        <w:t xml:space="preserve">Professional behaviour — comply with laws and avoid conduct that discredits the profession.</w:t>
      </w:r>
    </w:p>
    <w:p>
      <w:pPr>
        <w:pStyle w:val="ListParagraph"/>
        <w:numPr>
          <w:ilvl w:val="0"/>
          <w:numId w:val="2"/>
        </w:numPr>
        <w:bidi/>
        <w:spacing w:after="170" w:line="320"/>
        <w:jc w:val="right"/>
      </w:pPr>
      <w:r>
        <w:rPr>
          <w:rFonts w:ascii="Arial" w:cs="Arial" w:eastAsia="Arial" w:hAnsi="Arial"/>
          <w:color w:val="5B6472"/>
          <w:sz w:val="24"/>
          <w:szCs w:val="24"/>
        </w:rPr>
        <w:t xml:space="preserve">السلوك المهني — الالتزام بالقوانين وتجنّب أي تصرف يسيء لسمعة المهنة.</w:t>
      </w:r>
    </w:p>
    <w:p>
      <w:pPr>
        <w:pStyle w:val="Heading3"/>
        <w:pBdr>
          <w:left w:val="single" w:color="B8912F" w:sz="24" w:space="8"/>
        </w:pBdr>
        <w:spacing w:after="40" w:before="340"/>
        <w:ind w:left="120"/>
      </w:pPr>
      <w:r>
        <w:rPr>
          <w:rFonts w:ascii="Cambria" w:cs="Cambria" w:eastAsia="Cambria" w:hAnsi="Cambria"/>
          <w:b/>
          <w:bCs/>
          <w:color w:val="B8912F"/>
        </w:rPr>
        <w:t xml:space="preserve">Threats to the Fundamental Principles</w:t>
      </w:r>
    </w:p>
    <w:p>
      <w:pPr>
        <w:bidi/>
        <w:spacing w:after="180"/>
        <w:jc w:val="right"/>
      </w:pPr>
      <w:r>
        <w:rPr>
          <w:rFonts w:ascii="Arial" w:cs="Arial" w:eastAsia="Arial" w:hAnsi="Arial"/>
          <w:b/>
          <w:bCs/>
          <w:color w:val="B8912F"/>
          <w:sz w:val="24"/>
          <w:szCs w:val="24"/>
        </w:rPr>
        <w:t xml:space="preserve">التهديدات التي تُخلّ بالمبادئ الأساسية</w:t>
      </w:r>
    </w:p>
    <w:p>
      <w:pPr>
        <w:pStyle w:val="ListParagraph"/>
        <w:numPr>
          <w:ilvl w:val="0"/>
          <w:numId w:val="2"/>
        </w:numPr>
        <w:spacing w:after="60" w:line="300"/>
      </w:pPr>
      <w:r>
        <w:rPr>
          <w:rFonts w:ascii="Calibri" w:cs="Calibri" w:eastAsia="Calibri" w:hAnsi="Calibri"/>
          <w:sz w:val="23"/>
          <w:szCs w:val="23"/>
        </w:rPr>
        <w:t xml:space="preserve">Self-interest — a financial or other interest inappropriately influences judgement (e.g. fee dependency, shares in the client).</w:t>
      </w:r>
    </w:p>
    <w:p>
      <w:pPr>
        <w:pStyle w:val="ListParagraph"/>
        <w:numPr>
          <w:ilvl w:val="0"/>
          <w:numId w:val="2"/>
        </w:numPr>
        <w:bidi/>
        <w:spacing w:after="170" w:line="320"/>
        <w:jc w:val="right"/>
      </w:pPr>
      <w:r>
        <w:rPr>
          <w:rFonts w:ascii="Arial" w:cs="Arial" w:eastAsia="Arial" w:hAnsi="Arial"/>
          <w:color w:val="5B6472"/>
          <w:sz w:val="24"/>
          <w:szCs w:val="24"/>
        </w:rPr>
        <w:t xml:space="preserve">تهديد المصلحة الذاتية — وجود مصلحة مالية أو غيرها تؤثر بشكل غير ملائم على الحكم (مثل الاعتماد على أتعاب العميل أو امتلاك أسهم فيه).</w:t>
      </w:r>
    </w:p>
    <w:p>
      <w:pPr>
        <w:pStyle w:val="ListParagraph"/>
        <w:numPr>
          <w:ilvl w:val="0"/>
          <w:numId w:val="2"/>
        </w:numPr>
        <w:spacing w:after="60" w:line="300"/>
      </w:pPr>
      <w:r>
        <w:rPr>
          <w:rFonts w:ascii="Calibri" w:cs="Calibri" w:eastAsia="Calibri" w:hAnsi="Calibri"/>
          <w:sz w:val="23"/>
          <w:szCs w:val="23"/>
        </w:rPr>
        <w:t xml:space="preserve">Self-review — a previous judgement/service is re-evaluated by the same firm (e.g. auditing bookkeeping the firm itself prepared).</w:t>
      </w:r>
    </w:p>
    <w:p>
      <w:pPr>
        <w:pStyle w:val="ListParagraph"/>
        <w:numPr>
          <w:ilvl w:val="0"/>
          <w:numId w:val="2"/>
        </w:numPr>
        <w:bidi/>
        <w:spacing w:after="170" w:line="320"/>
        <w:jc w:val="right"/>
      </w:pPr>
      <w:r>
        <w:rPr>
          <w:rFonts w:ascii="Arial" w:cs="Arial" w:eastAsia="Arial" w:hAnsi="Arial"/>
          <w:color w:val="5B6472"/>
          <w:sz w:val="24"/>
          <w:szCs w:val="24"/>
        </w:rPr>
        <w:t xml:space="preserve">تهديد المراجعة الذاتية — إعادة تقييم عمل أو حكم سابق قامت به نفس الجهة (مثل تدقيق مسك حسابات أعدّه المكتب نفسه).</w:t>
      </w:r>
    </w:p>
    <w:p>
      <w:pPr>
        <w:pStyle w:val="ListParagraph"/>
        <w:numPr>
          <w:ilvl w:val="0"/>
          <w:numId w:val="2"/>
        </w:numPr>
        <w:spacing w:after="60" w:line="300"/>
      </w:pPr>
      <w:r>
        <w:rPr>
          <w:rFonts w:ascii="Calibri" w:cs="Calibri" w:eastAsia="Calibri" w:hAnsi="Calibri"/>
          <w:sz w:val="23"/>
          <w:szCs w:val="23"/>
        </w:rPr>
        <w:t xml:space="preserve">Advocacy — the firm promotes a position or opinion to the point objectivity is compromised (e.g. acting as legal advocate in litigation for the client).</w:t>
      </w:r>
    </w:p>
    <w:p>
      <w:pPr>
        <w:pStyle w:val="ListParagraph"/>
        <w:numPr>
          <w:ilvl w:val="0"/>
          <w:numId w:val="2"/>
        </w:numPr>
        <w:bidi/>
        <w:spacing w:after="170" w:line="320"/>
        <w:jc w:val="right"/>
      </w:pPr>
      <w:r>
        <w:rPr>
          <w:rFonts w:ascii="Arial" w:cs="Arial" w:eastAsia="Arial" w:hAnsi="Arial"/>
          <w:color w:val="5B6472"/>
          <w:sz w:val="24"/>
          <w:szCs w:val="24"/>
        </w:rPr>
        <w:t xml:space="preserve">تهديد المناصرة — قيام المكتب بالترويج لموقف العميل بشكل يهدد الموضوعية (مثل تمثيله كمحامٍ في نزاع قضائي).</w:t>
      </w:r>
    </w:p>
    <w:p>
      <w:pPr>
        <w:pStyle w:val="ListParagraph"/>
        <w:numPr>
          <w:ilvl w:val="0"/>
          <w:numId w:val="2"/>
        </w:numPr>
        <w:spacing w:after="60" w:line="300"/>
      </w:pPr>
      <w:r>
        <w:rPr>
          <w:rFonts w:ascii="Calibri" w:cs="Calibri" w:eastAsia="Calibri" w:hAnsi="Calibri"/>
          <w:sz w:val="23"/>
          <w:szCs w:val="23"/>
        </w:rPr>
        <w:t xml:space="preserve">Familiarity — a long or close relationship leads to being too sympathetic to the client's interests.</w:t>
      </w:r>
    </w:p>
    <w:p>
      <w:pPr>
        <w:pStyle w:val="ListParagraph"/>
        <w:numPr>
          <w:ilvl w:val="0"/>
          <w:numId w:val="2"/>
        </w:numPr>
        <w:bidi/>
        <w:spacing w:after="170" w:line="320"/>
        <w:jc w:val="right"/>
      </w:pPr>
      <w:r>
        <w:rPr>
          <w:rFonts w:ascii="Arial" w:cs="Arial" w:eastAsia="Arial" w:hAnsi="Arial"/>
          <w:color w:val="5B6472"/>
          <w:sz w:val="24"/>
          <w:szCs w:val="24"/>
        </w:rPr>
        <w:t xml:space="preserve">تهديد الألفة — علاقة طويلة أو وثيقة تؤدي لتعاطف مفرط مع مصالح العميل.</w:t>
      </w:r>
    </w:p>
    <w:p>
      <w:pPr>
        <w:pStyle w:val="ListParagraph"/>
        <w:numPr>
          <w:ilvl w:val="0"/>
          <w:numId w:val="2"/>
        </w:numPr>
        <w:spacing w:after="60" w:line="300"/>
      </w:pPr>
      <w:r>
        <w:rPr>
          <w:rFonts w:ascii="Calibri" w:cs="Calibri" w:eastAsia="Calibri" w:hAnsi="Calibri"/>
          <w:sz w:val="23"/>
          <w:szCs w:val="23"/>
        </w:rPr>
        <w:t xml:space="preserve">Intimidation — the auditor is deterred from acting objectively by actual or perceived pressure/threats.</w:t>
      </w:r>
    </w:p>
    <w:p>
      <w:pPr>
        <w:pStyle w:val="ListParagraph"/>
        <w:numPr>
          <w:ilvl w:val="0"/>
          <w:numId w:val="2"/>
        </w:numPr>
        <w:bidi/>
        <w:spacing w:after="170" w:line="320"/>
        <w:jc w:val="right"/>
      </w:pPr>
      <w:r>
        <w:rPr>
          <w:rFonts w:ascii="Arial" w:cs="Arial" w:eastAsia="Arial" w:hAnsi="Arial"/>
          <w:color w:val="5B6472"/>
          <w:sz w:val="24"/>
          <w:szCs w:val="24"/>
        </w:rPr>
        <w:t xml:space="preserve">تهديد الترهيب — تعرّض المدقق لضغوط أو تهديدات فعلية أو متصوَّرة تمنعه من التصرف بموضوعية.</w:t>
      </w:r>
    </w:p>
    <w:p>
      <w:pPr>
        <w:pStyle w:val="Heading3"/>
        <w:pBdr>
          <w:left w:val="single" w:color="B8912F" w:sz="24" w:space="8"/>
        </w:pBdr>
        <w:spacing w:after="40" w:before="340"/>
        <w:ind w:left="120"/>
      </w:pPr>
      <w:r>
        <w:rPr>
          <w:rFonts w:ascii="Cambria" w:cs="Cambria" w:eastAsia="Cambria" w:hAnsi="Cambria"/>
          <w:b/>
          <w:bCs/>
          <w:color w:val="B8912F"/>
        </w:rPr>
        <w:t xml:space="preserve">Safeguards</w:t>
      </w:r>
    </w:p>
    <w:p>
      <w:pPr>
        <w:bidi/>
        <w:spacing w:after="180"/>
        <w:jc w:val="right"/>
      </w:pPr>
      <w:r>
        <w:rPr>
          <w:rFonts w:ascii="Arial" w:cs="Arial" w:eastAsia="Arial" w:hAnsi="Arial"/>
          <w:b/>
          <w:bCs/>
          <w:color w:val="B8912F"/>
          <w:sz w:val="24"/>
          <w:szCs w:val="24"/>
        </w:rPr>
        <w:t xml:space="preserve">الإجراءات الوقائية (Safeguards)</w:t>
      </w:r>
    </w:p>
    <w:p>
      <w:pPr>
        <w:pStyle w:val="ListParagraph"/>
        <w:numPr>
          <w:ilvl w:val="0"/>
          <w:numId w:val="2"/>
        </w:numPr>
        <w:spacing w:after="60" w:line="300"/>
      </w:pPr>
      <w:r>
        <w:rPr>
          <w:rFonts w:ascii="Calibri" w:cs="Calibri" w:eastAsia="Calibri" w:hAnsi="Calibri"/>
          <w:sz w:val="23"/>
          <w:szCs w:val="23"/>
        </w:rPr>
        <w:t xml:space="preserve">Rotation of engagement/key audit partners on long-standing or listed-client engagements.</w:t>
      </w:r>
    </w:p>
    <w:p>
      <w:pPr>
        <w:pStyle w:val="ListParagraph"/>
        <w:numPr>
          <w:ilvl w:val="0"/>
          <w:numId w:val="2"/>
        </w:numPr>
        <w:bidi/>
        <w:spacing w:after="170" w:line="320"/>
        <w:jc w:val="right"/>
      </w:pPr>
      <w:r>
        <w:rPr>
          <w:rFonts w:ascii="Arial" w:cs="Arial" w:eastAsia="Arial" w:hAnsi="Arial"/>
          <w:color w:val="5B6472"/>
          <w:sz w:val="24"/>
          <w:szCs w:val="24"/>
        </w:rPr>
        <w:t xml:space="preserve">تدوير الشريك المسؤول عن المهمة في العملاء طويلي الأمد أو المدرجين.</w:t>
      </w:r>
    </w:p>
    <w:p>
      <w:pPr>
        <w:pStyle w:val="ListParagraph"/>
        <w:numPr>
          <w:ilvl w:val="0"/>
          <w:numId w:val="2"/>
        </w:numPr>
        <w:spacing w:after="60" w:line="300"/>
      </w:pPr>
      <w:r>
        <w:rPr>
          <w:rFonts w:ascii="Calibri" w:cs="Calibri" w:eastAsia="Calibri" w:hAnsi="Calibri"/>
          <w:sz w:val="23"/>
          <w:szCs w:val="23"/>
        </w:rPr>
        <w:t xml:space="preserve">Using separate teams for audit and non-audit services; independent second partner review.</w:t>
      </w:r>
    </w:p>
    <w:p>
      <w:pPr>
        <w:pStyle w:val="ListParagraph"/>
        <w:numPr>
          <w:ilvl w:val="0"/>
          <w:numId w:val="2"/>
        </w:numPr>
        <w:bidi/>
        <w:spacing w:after="170" w:line="320"/>
        <w:jc w:val="right"/>
      </w:pPr>
      <w:r>
        <w:rPr>
          <w:rFonts w:ascii="Arial" w:cs="Arial" w:eastAsia="Arial" w:hAnsi="Arial"/>
          <w:color w:val="5B6472"/>
          <w:sz w:val="24"/>
          <w:szCs w:val="24"/>
        </w:rPr>
        <w:t xml:space="preserve">استخدام فرق منفصلة لخدمات التدقيق وغير التدقيق؛ ومراجعة من شريك ثانٍ مستقل.</w:t>
      </w:r>
    </w:p>
    <w:p>
      <w:pPr>
        <w:pStyle w:val="ListParagraph"/>
        <w:numPr>
          <w:ilvl w:val="0"/>
          <w:numId w:val="2"/>
        </w:numPr>
        <w:spacing w:after="60" w:line="300"/>
      </w:pPr>
      <w:r>
        <w:rPr>
          <w:rFonts w:ascii="Calibri" w:cs="Calibri" w:eastAsia="Calibri" w:hAnsi="Calibri"/>
          <w:sz w:val="23"/>
          <w:szCs w:val="23"/>
        </w:rPr>
        <w:t xml:space="preserve">Declining or withdrawing from an engagement if a threat cannot be reduced to an acceptable level.</w:t>
      </w:r>
    </w:p>
    <w:p>
      <w:pPr>
        <w:pStyle w:val="ListParagraph"/>
        <w:numPr>
          <w:ilvl w:val="0"/>
          <w:numId w:val="2"/>
        </w:numPr>
        <w:bidi/>
        <w:spacing w:after="170" w:line="320"/>
        <w:jc w:val="right"/>
      </w:pPr>
      <w:r>
        <w:rPr>
          <w:rFonts w:ascii="Arial" w:cs="Arial" w:eastAsia="Arial" w:hAnsi="Arial"/>
          <w:color w:val="5B6472"/>
          <w:sz w:val="24"/>
          <w:szCs w:val="24"/>
        </w:rPr>
        <w:t xml:space="preserve">رفض المهمة أو الانسحاب منها إذا تعذر تخفيض التهديد إلى مستوى مقبول.</w:t>
      </w:r>
    </w:p>
    <w:p>
      <w:pPr>
        <w:pStyle w:val="Heading2"/>
        <w:pBdr>
          <w:left w:val="single" w:color="1F3864" w:sz="24" w:space="8"/>
        </w:pBdr>
        <w:spacing w:after="40" w:before="340"/>
        <w:ind w:left="120"/>
      </w:pPr>
      <w:r>
        <w:rPr>
          <w:rFonts w:ascii="Cambria" w:cs="Cambria" w:eastAsia="Cambria" w:hAnsi="Cambria"/>
          <w:b/>
          <w:bCs/>
          <w:color w:val="1F3864"/>
        </w:rPr>
        <w:t xml:space="preserve">6. Confidentiality, Money Laundering and Liability</w:t>
      </w:r>
    </w:p>
    <w:p>
      <w:pPr>
        <w:bidi/>
        <w:spacing w:after="180"/>
        <w:jc w:val="right"/>
      </w:pPr>
      <w:r>
        <w:rPr>
          <w:rFonts w:ascii="Arial" w:cs="Arial" w:eastAsia="Arial" w:hAnsi="Arial"/>
          <w:b/>
          <w:bCs/>
          <w:color w:val="1F3864"/>
          <w:sz w:val="24"/>
          <w:szCs w:val="24"/>
        </w:rPr>
        <w:t xml:space="preserve">٦. السرية وغسل الأموال والمسؤولية القانونية</w:t>
      </w:r>
    </w:p>
    <w:p>
      <w:pPr>
        <w:pStyle w:val="ListParagraph"/>
        <w:numPr>
          <w:ilvl w:val="0"/>
          <w:numId w:val="2"/>
        </w:numPr>
        <w:spacing w:after="60" w:line="300"/>
      </w:pPr>
      <w:r>
        <w:rPr>
          <w:rFonts w:ascii="Calibri" w:cs="Calibri" w:eastAsia="Calibri" w:hAnsi="Calibri"/>
          <w:sz w:val="23"/>
          <w:szCs w:val="23"/>
        </w:rPr>
        <w:t xml:space="preserve">Auditors must report suspicions of money laundering to the firm's Money Laundering Reporting Officer / relevant authority — this overrides normal client confidentiality ("tipping off" the client is itself an offence).</w:t>
      </w:r>
    </w:p>
    <w:p>
      <w:pPr>
        <w:pStyle w:val="ListParagraph"/>
        <w:numPr>
          <w:ilvl w:val="0"/>
          <w:numId w:val="2"/>
        </w:numPr>
        <w:bidi/>
        <w:spacing w:after="170" w:line="320"/>
        <w:jc w:val="right"/>
      </w:pPr>
      <w:r>
        <w:rPr>
          <w:rFonts w:ascii="Arial" w:cs="Arial" w:eastAsia="Arial" w:hAnsi="Arial"/>
          <w:color w:val="5B6472"/>
          <w:sz w:val="24"/>
          <w:szCs w:val="24"/>
        </w:rPr>
        <w:t xml:space="preserve">يجب على المدقق الإبلاغ عن الاشتباه بغسل الأموال لمسؤول الإبلاغ في المكتب أو الجهة المختصة — وهذا يتفوق على واجب السرية المعتاد، وتنبيه العميل بذلك (Tipping off) يُعد جريمة بحد ذاته.</w:t>
      </w:r>
    </w:p>
    <w:p>
      <w:pPr>
        <w:pStyle w:val="ListParagraph"/>
        <w:numPr>
          <w:ilvl w:val="0"/>
          <w:numId w:val="2"/>
        </w:numPr>
        <w:spacing w:after="60" w:line="300"/>
      </w:pPr>
      <w:r>
        <w:rPr>
          <w:rFonts w:ascii="Calibri" w:cs="Calibri" w:eastAsia="Calibri" w:hAnsi="Calibri"/>
          <w:sz w:val="23"/>
          <w:szCs w:val="23"/>
        </w:rPr>
        <w:t xml:space="preserve">Auditors can be liable in contract (to the client) and in tort/negligence (to third parties who can prove a duty of care existed, e.g. Caparo criteria: purpose known, reliance, proximity).</w:t>
      </w:r>
    </w:p>
    <w:p>
      <w:pPr>
        <w:pStyle w:val="ListParagraph"/>
        <w:numPr>
          <w:ilvl w:val="0"/>
          <w:numId w:val="2"/>
        </w:numPr>
        <w:bidi/>
        <w:spacing w:after="170" w:line="320"/>
        <w:jc w:val="right"/>
      </w:pPr>
      <w:r>
        <w:rPr>
          <w:rFonts w:ascii="Arial" w:cs="Arial" w:eastAsia="Arial" w:hAnsi="Arial"/>
          <w:color w:val="5B6472"/>
          <w:sz w:val="24"/>
          <w:szCs w:val="24"/>
        </w:rPr>
        <w:t xml:space="preserve">قد يتحمل المدقق مسؤولية تعاقدية (تجاه العميل) أو مسؤولية تقصيرية (تجاه أطراف ثالثة إذا أثبتت وجود واجب عناية، وفق معايير مثل قضية Caparo: معرفة الغرض، الاعتماد على التقرير، القرب).</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B: Planning and Risk Assessment</w:t>
      </w:r>
    </w:p>
    <w:p>
      <w:pPr>
        <w:bidi/>
        <w:spacing w:after="180"/>
        <w:jc w:val="right"/>
      </w:pPr>
      <w:r>
        <w:rPr>
          <w:rFonts w:ascii="Arial" w:cs="Arial" w:eastAsia="Arial" w:hAnsi="Arial"/>
          <w:b/>
          <w:bCs/>
          <w:color w:val="1F3864"/>
          <w:sz w:val="24"/>
          <w:szCs w:val="24"/>
        </w:rPr>
        <w:t xml:space="preserve">القسم ب: التخطيط وتقييم المخاطر</w:t>
      </w:r>
    </w:p>
    <w:p>
      <w:pPr>
        <w:pStyle w:val="Heading2"/>
        <w:pBdr>
          <w:left w:val="single" w:color="1F3864" w:sz="24" w:space="8"/>
        </w:pBdr>
        <w:spacing w:after="40" w:before="340"/>
        <w:ind w:left="120"/>
      </w:pPr>
      <w:r>
        <w:rPr>
          <w:rFonts w:ascii="Cambria" w:cs="Cambria" w:eastAsia="Cambria" w:hAnsi="Cambria"/>
          <w:b/>
          <w:bCs/>
          <w:color w:val="1F3864"/>
        </w:rPr>
        <w:t xml:space="preserve">1. Materiality</w:t>
      </w:r>
    </w:p>
    <w:p>
      <w:pPr>
        <w:bidi/>
        <w:spacing w:after="180"/>
        <w:jc w:val="right"/>
      </w:pPr>
      <w:r>
        <w:rPr>
          <w:rFonts w:ascii="Arial" w:cs="Arial" w:eastAsia="Arial" w:hAnsi="Arial"/>
          <w:b/>
          <w:bCs/>
          <w:color w:val="1F3864"/>
          <w:sz w:val="24"/>
          <w:szCs w:val="24"/>
        </w:rPr>
        <w:t xml:space="preserve">١. الأهمية النسبية (Materiality)</w:t>
      </w:r>
    </w:p>
    <w:p>
      <w:pPr>
        <w:spacing w:after="160" w:line="300"/>
      </w:pPr>
      <w:r>
        <w:rPr>
          <w:rFonts w:ascii="Calibri" w:cs="Calibri" w:eastAsia="Calibri" w:hAnsi="Calibri"/>
          <w:sz w:val="25"/>
          <w:szCs w:val="25"/>
        </w:rPr>
        <w:t xml:space="preserve">Information is material if omitting, misstating, or obscuring it could reasonably influence the economic decisions of users taken on the basis of the financial statements. Materiality is assessed for the financial statements as a whole and applied when planning and performing the audit (ISA 320).</w:t>
      </w:r>
    </w:p>
    <w:p>
      <w:pPr>
        <w:bidi/>
        <w:spacing w:after="260" w:line="340"/>
        <w:jc w:val="right"/>
      </w:pPr>
      <w:r>
        <w:rPr>
          <w:rFonts w:ascii="Arial" w:cs="Arial" w:eastAsia="Arial" w:hAnsi="Arial"/>
          <w:sz w:val="26"/>
          <w:szCs w:val="26"/>
        </w:rPr>
        <w:t xml:space="preserve">تكون المعلومة جوهرية إذا كان حذفها أو تحريفها أو تعتيمها قد يؤثر بشكل معقول على القرارات الاقتصادية للمستخدمين المبنية على القوائم المالية. تُقدَّر الأهمية النسبية للقوائم المالية ككل وتُستخدم عند تخطيط التدقيق وتنفيذه (وفق معيار ISA 320).</w:t>
      </w:r>
    </w:p>
    <w:p>
      <w:pPr>
        <w:pStyle w:val="ListParagraph"/>
        <w:numPr>
          <w:ilvl w:val="0"/>
          <w:numId w:val="2"/>
        </w:numPr>
        <w:spacing w:after="60" w:line="300"/>
      </w:pPr>
      <w:r>
        <w:rPr>
          <w:rFonts w:ascii="Calibri" w:cs="Calibri" w:eastAsia="Calibri" w:hAnsi="Calibri"/>
          <w:sz w:val="23"/>
          <w:szCs w:val="23"/>
        </w:rPr>
        <w:t xml:space="preserve">Common benchmarks: 0.5–1% of revenue, 1–2% of total assets, 5–10% of profit before tax.</w:t>
      </w:r>
    </w:p>
    <w:p>
      <w:pPr>
        <w:pStyle w:val="ListParagraph"/>
        <w:numPr>
          <w:ilvl w:val="0"/>
          <w:numId w:val="2"/>
        </w:numPr>
        <w:bidi/>
        <w:spacing w:after="170" w:line="320"/>
        <w:jc w:val="right"/>
      </w:pPr>
      <w:r>
        <w:rPr>
          <w:rFonts w:ascii="Arial" w:cs="Arial" w:eastAsia="Arial" w:hAnsi="Arial"/>
          <w:color w:val="5B6472"/>
          <w:sz w:val="24"/>
          <w:szCs w:val="24"/>
        </w:rPr>
        <w:t xml:space="preserve">معايير شائعة للاسترشاد: ٠٫٥–١٪ من الإيرادات، ١–٢٪ من إجمالي الأصول، ٥–١٠٪ من الربح قبل الضريبة.</w:t>
      </w:r>
    </w:p>
    <w:p>
      <w:pPr>
        <w:pStyle w:val="ListParagraph"/>
        <w:numPr>
          <w:ilvl w:val="0"/>
          <w:numId w:val="2"/>
        </w:numPr>
        <w:spacing w:after="60" w:line="300"/>
      </w:pPr>
      <w:r>
        <w:rPr>
          <w:rFonts w:ascii="Calibri" w:cs="Calibri" w:eastAsia="Calibri" w:hAnsi="Calibri"/>
          <w:sz w:val="23"/>
          <w:szCs w:val="23"/>
        </w:rPr>
        <w:t xml:space="preserve">Performance materiality is set lower than overall materiality to reduce the risk that aggregated small misstatements exceed materiality.</w:t>
      </w:r>
    </w:p>
    <w:p>
      <w:pPr>
        <w:pStyle w:val="ListParagraph"/>
        <w:numPr>
          <w:ilvl w:val="0"/>
          <w:numId w:val="2"/>
        </w:numPr>
        <w:bidi/>
        <w:spacing w:after="170" w:line="320"/>
        <w:jc w:val="right"/>
      </w:pPr>
      <w:r>
        <w:rPr>
          <w:rFonts w:ascii="Arial" w:cs="Arial" w:eastAsia="Arial" w:hAnsi="Arial"/>
          <w:color w:val="5B6472"/>
          <w:sz w:val="24"/>
          <w:szCs w:val="24"/>
        </w:rPr>
        <w:t xml:space="preserve">تُحدَّد الأهمية النسبية للأداء (Performance Materiality) بمستوى أقل من الأهمية الكلية لتقليل احتمال أن يتجاوز مجموع أخطاء صغيرة متعددة الحد الجوهري.</w:t>
      </w:r>
    </w:p>
    <w:p>
      <w:pPr>
        <w:pStyle w:val="Heading2"/>
        <w:pBdr>
          <w:left w:val="single" w:color="1F3864" w:sz="24" w:space="8"/>
        </w:pBdr>
        <w:spacing w:after="40" w:before="340"/>
        <w:ind w:left="120"/>
      </w:pPr>
      <w:r>
        <w:rPr>
          <w:rFonts w:ascii="Cambria" w:cs="Cambria" w:eastAsia="Cambria" w:hAnsi="Cambria"/>
          <w:b/>
          <w:bCs/>
          <w:color w:val="1F3864"/>
        </w:rPr>
        <w:t xml:space="preserve">2. Audit Risk Model</w:t>
      </w:r>
    </w:p>
    <w:p>
      <w:pPr>
        <w:bidi/>
        <w:spacing w:after="180"/>
        <w:jc w:val="right"/>
      </w:pPr>
      <w:r>
        <w:rPr>
          <w:rFonts w:ascii="Arial" w:cs="Arial" w:eastAsia="Arial" w:hAnsi="Arial"/>
          <w:b/>
          <w:bCs/>
          <w:color w:val="1F3864"/>
          <w:sz w:val="24"/>
          <w:szCs w:val="24"/>
        </w:rPr>
        <w:t xml:space="preserve">٢. نموذج مخاطر التدقيق</w:t>
      </w:r>
    </w:p>
    <w:p>
      <w:pPr>
        <w:spacing w:after="160" w:line="300"/>
      </w:pPr>
      <w:r>
        <w:rPr>
          <w:rFonts w:ascii="Calibri" w:cs="Calibri" w:eastAsia="Calibri" w:hAnsi="Calibri"/>
          <w:sz w:val="25"/>
          <w:szCs w:val="25"/>
        </w:rPr>
        <w:t xml:space="preserve">Audit risk = Risk of Material Misstatement (Inherent Risk × Control Risk) × Detection Risk. The auditor cannot control inherent or control risk, but can control detection risk by adjusting the nature, timing, and extent of procedures.</w:t>
      </w:r>
    </w:p>
    <w:p>
      <w:pPr>
        <w:bidi/>
        <w:spacing w:after="260" w:line="340"/>
        <w:jc w:val="right"/>
      </w:pPr>
      <w:r>
        <w:rPr>
          <w:rFonts w:ascii="Arial" w:cs="Arial" w:eastAsia="Arial" w:hAnsi="Arial"/>
          <w:sz w:val="26"/>
          <w:szCs w:val="26"/>
        </w:rPr>
        <w:t xml:space="preserve">مخاطر التدقيق = مخاطر التحريف الجوهري (المخاطر الملازمة × مخاطر الرقابة) × مخاطر عدم الاكتشاف. لا يستطيع المدقق التحكم بالمخاطر الملازمة أو مخاطر الرقابة، لكنه يتحكم بمخاطر عدم الاكتشاف من خلال تعديل طبيعة وتوقيت ونطاق إجراءاته.</w:t>
      </w:r>
    </w:p>
    <w:p>
      <w:pPr>
        <w:pStyle w:val="ListParagraph"/>
        <w:numPr>
          <w:ilvl w:val="0"/>
          <w:numId w:val="2"/>
        </w:numPr>
        <w:spacing w:after="60" w:line="300"/>
      </w:pPr>
      <w:r>
        <w:rPr>
          <w:rFonts w:ascii="Calibri" w:cs="Calibri" w:eastAsia="Calibri" w:hAnsi="Calibri"/>
          <w:sz w:val="23"/>
          <w:szCs w:val="23"/>
        </w:rPr>
        <w:t xml:space="preserve">Inherent risk — susceptibility of a balance/transaction to misstatement, before considering controls (e.g. complex estimates, cash-based business).</w:t>
      </w:r>
    </w:p>
    <w:p>
      <w:pPr>
        <w:pStyle w:val="ListParagraph"/>
        <w:numPr>
          <w:ilvl w:val="0"/>
          <w:numId w:val="2"/>
        </w:numPr>
        <w:bidi/>
        <w:spacing w:after="170" w:line="320"/>
        <w:jc w:val="right"/>
      </w:pPr>
      <w:r>
        <w:rPr>
          <w:rFonts w:ascii="Arial" w:cs="Arial" w:eastAsia="Arial" w:hAnsi="Arial"/>
          <w:color w:val="5B6472"/>
          <w:sz w:val="24"/>
          <w:szCs w:val="24"/>
        </w:rPr>
        <w:t xml:space="preserve">المخاطر الملازمة — قابلية رصيد أو معاملة للتحريف قبل الأخذ بعين الاعتبار الرقابة الداخلية (مثل التقديرات المعقدة أو الأعمال النقدية).</w:t>
      </w:r>
    </w:p>
    <w:p>
      <w:pPr>
        <w:pStyle w:val="ListParagraph"/>
        <w:numPr>
          <w:ilvl w:val="0"/>
          <w:numId w:val="2"/>
        </w:numPr>
        <w:spacing w:after="60" w:line="300"/>
      </w:pPr>
      <w:r>
        <w:rPr>
          <w:rFonts w:ascii="Calibri" w:cs="Calibri" w:eastAsia="Calibri" w:hAnsi="Calibri"/>
          <w:sz w:val="23"/>
          <w:szCs w:val="23"/>
        </w:rPr>
        <w:t xml:space="preserve">Control risk — the risk that internal controls fail to prevent or detect a misstatement.</w:t>
      </w:r>
    </w:p>
    <w:p>
      <w:pPr>
        <w:pStyle w:val="ListParagraph"/>
        <w:numPr>
          <w:ilvl w:val="0"/>
          <w:numId w:val="2"/>
        </w:numPr>
        <w:bidi/>
        <w:spacing w:after="170" w:line="320"/>
        <w:jc w:val="right"/>
      </w:pPr>
      <w:r>
        <w:rPr>
          <w:rFonts w:ascii="Arial" w:cs="Arial" w:eastAsia="Arial" w:hAnsi="Arial"/>
          <w:color w:val="5B6472"/>
          <w:sz w:val="24"/>
          <w:szCs w:val="24"/>
        </w:rPr>
        <w:t xml:space="preserve">مخاطر الرقابة — احتمال فشل الرقابة الداخلية في منع أو اكتشاف التحريف.</w:t>
      </w:r>
    </w:p>
    <w:p>
      <w:pPr>
        <w:pStyle w:val="ListParagraph"/>
        <w:numPr>
          <w:ilvl w:val="0"/>
          <w:numId w:val="2"/>
        </w:numPr>
        <w:spacing w:after="60" w:line="300"/>
      </w:pPr>
      <w:r>
        <w:rPr>
          <w:rFonts w:ascii="Calibri" w:cs="Calibri" w:eastAsia="Calibri" w:hAnsi="Calibri"/>
          <w:sz w:val="23"/>
          <w:szCs w:val="23"/>
        </w:rPr>
        <w:t xml:space="preserve">Detection risk — the risk the auditor's procedures fail to detect an existing material misstatement.</w:t>
      </w:r>
    </w:p>
    <w:p>
      <w:pPr>
        <w:pStyle w:val="ListParagraph"/>
        <w:numPr>
          <w:ilvl w:val="0"/>
          <w:numId w:val="2"/>
        </w:numPr>
        <w:bidi/>
        <w:spacing w:after="170" w:line="320"/>
        <w:jc w:val="right"/>
      </w:pPr>
      <w:r>
        <w:rPr>
          <w:rFonts w:ascii="Arial" w:cs="Arial" w:eastAsia="Arial" w:hAnsi="Arial"/>
          <w:color w:val="5B6472"/>
          <w:sz w:val="24"/>
          <w:szCs w:val="24"/>
        </w:rPr>
        <w:t xml:space="preserve">مخاطر عدم الاكتشاف — احتمال أن تفشل إجراءات المدقق في اكتشاف تحريف جوهري قائم.</w:t>
      </w:r>
    </w:p>
    <w:p>
      <w:pPr>
        <w:pStyle w:val="Heading2"/>
        <w:pBdr>
          <w:left w:val="single" w:color="1F3864" w:sz="24" w:space="8"/>
        </w:pBdr>
        <w:spacing w:after="40" w:before="340"/>
        <w:ind w:left="120"/>
      </w:pPr>
      <w:r>
        <w:rPr>
          <w:rFonts w:ascii="Cambria" w:cs="Cambria" w:eastAsia="Cambria" w:hAnsi="Cambria"/>
          <w:b/>
          <w:bCs/>
          <w:color w:val="1F3864"/>
        </w:rPr>
        <w:t xml:space="preserve">3. Understanding the Entity and Analytical Procedures</w:t>
      </w:r>
    </w:p>
    <w:p>
      <w:pPr>
        <w:bidi/>
        <w:spacing w:after="180"/>
        <w:jc w:val="right"/>
      </w:pPr>
      <w:r>
        <w:rPr>
          <w:rFonts w:ascii="Arial" w:cs="Arial" w:eastAsia="Arial" w:hAnsi="Arial"/>
          <w:b/>
          <w:bCs/>
          <w:color w:val="1F3864"/>
          <w:sz w:val="24"/>
          <w:szCs w:val="24"/>
        </w:rPr>
        <w:t xml:space="preserve">٣. فهم المنشأة والإجراءات التحليلية</w:t>
      </w:r>
    </w:p>
    <w:p>
      <w:pPr>
        <w:spacing w:after="160" w:line="300"/>
      </w:pPr>
      <w:r>
        <w:rPr>
          <w:rFonts w:ascii="Calibri" w:cs="Calibri" w:eastAsia="Calibri" w:hAnsi="Calibri"/>
          <w:sz w:val="25"/>
          <w:szCs w:val="25"/>
        </w:rPr>
        <w:t xml:space="preserve">ISA 315 requires the auditor to understand the entity, its environment, and its system of internal control to identify and assess risks of material misstatement. Analytical procedures (ratio analysis, trend comparison) are used at the planning stage to identify unusual fluctuations that may signal risk.</w:t>
      </w:r>
    </w:p>
    <w:p>
      <w:pPr>
        <w:bidi/>
        <w:spacing w:after="260" w:line="340"/>
        <w:jc w:val="right"/>
      </w:pPr>
      <w:r>
        <w:rPr>
          <w:rFonts w:ascii="Arial" w:cs="Arial" w:eastAsia="Arial" w:hAnsi="Arial"/>
          <w:sz w:val="26"/>
          <w:szCs w:val="26"/>
        </w:rPr>
        <w:t xml:space="preserve">يتطلب معيار ISA 315 من المدقق فهم المنشأة وبيئتها ونظام الرقابة الداخلية لديها لتحديد وتقييم مخاطر التحريف الجوهري. تُستخدم الإجراءات التحليلية (تحليل النسب والاتجاهات) في مرحلة التخطيط لرصد أي تقلبات غير معتادة قد تشير لمخاطر.</w:t>
      </w:r>
    </w:p>
    <w:p>
      <w:pPr>
        <w:pStyle w:val="Heading2"/>
        <w:pBdr>
          <w:left w:val="single" w:color="1F3864" w:sz="24" w:space="8"/>
        </w:pBdr>
        <w:spacing w:after="40" w:before="340"/>
        <w:ind w:left="120"/>
      </w:pPr>
      <w:r>
        <w:rPr>
          <w:rFonts w:ascii="Cambria" w:cs="Cambria" w:eastAsia="Cambria" w:hAnsi="Cambria"/>
          <w:b/>
          <w:bCs/>
          <w:color w:val="1F3864"/>
        </w:rPr>
        <w:t xml:space="preserve">4. Fraud, Laws and Regulations</w:t>
      </w:r>
    </w:p>
    <w:p>
      <w:pPr>
        <w:bidi/>
        <w:spacing w:after="180"/>
        <w:jc w:val="right"/>
      </w:pPr>
      <w:r>
        <w:rPr>
          <w:rFonts w:ascii="Arial" w:cs="Arial" w:eastAsia="Arial" w:hAnsi="Arial"/>
          <w:b/>
          <w:bCs/>
          <w:color w:val="1F3864"/>
          <w:sz w:val="24"/>
          <w:szCs w:val="24"/>
        </w:rPr>
        <w:t xml:space="preserve">٤. الاحتيال والقوانين والأنظمة</w:t>
      </w:r>
    </w:p>
    <w:p>
      <w:pPr>
        <w:pStyle w:val="ListParagraph"/>
        <w:numPr>
          <w:ilvl w:val="0"/>
          <w:numId w:val="2"/>
        </w:numPr>
        <w:spacing w:after="60" w:line="300"/>
      </w:pPr>
      <w:r>
        <w:rPr>
          <w:rFonts w:ascii="Calibri" w:cs="Calibri" w:eastAsia="Calibri" w:hAnsi="Calibri"/>
          <w:sz w:val="23"/>
          <w:szCs w:val="23"/>
        </w:rPr>
        <w:t xml:space="preserve">ISA 240 — the auditor must maintain professional scepticism and consider the risk of fraud (fraudulent financial reporting or misappropriation of assets); the fraud triangle is incentive/pressure, opportunity, and rationalisation.</w:t>
      </w:r>
    </w:p>
    <w:p>
      <w:pPr>
        <w:pStyle w:val="ListParagraph"/>
        <w:numPr>
          <w:ilvl w:val="0"/>
          <w:numId w:val="2"/>
        </w:numPr>
        <w:bidi/>
        <w:spacing w:after="170" w:line="320"/>
        <w:jc w:val="right"/>
      </w:pPr>
      <w:r>
        <w:rPr>
          <w:rFonts w:ascii="Arial" w:cs="Arial" w:eastAsia="Arial" w:hAnsi="Arial"/>
          <w:color w:val="5B6472"/>
          <w:sz w:val="24"/>
          <w:szCs w:val="24"/>
        </w:rPr>
        <w:t xml:space="preserve">ISA 240 — يجب أن يحافظ المدقق على الشك المهني ويأخذ بالحسبان مخاطر الاحتيال (تقارير مالية احتيالية أو اختلاس أصول)؛ ويتكون "مثلث الاحتيال" من الحافز/الضغط، والفرصة، والتبرير.</w:t>
      </w:r>
    </w:p>
    <w:p>
      <w:pPr>
        <w:pStyle w:val="ListParagraph"/>
        <w:numPr>
          <w:ilvl w:val="0"/>
          <w:numId w:val="2"/>
        </w:numPr>
        <w:spacing w:after="60" w:line="300"/>
      </w:pPr>
      <w:r>
        <w:rPr>
          <w:rFonts w:ascii="Calibri" w:cs="Calibri" w:eastAsia="Calibri" w:hAnsi="Calibri"/>
          <w:sz w:val="23"/>
          <w:szCs w:val="23"/>
        </w:rPr>
        <w:t xml:space="preserve">ISA 250 — the auditor considers laws and regulations; non-compliance directly affecting the financial statements (e.g. tax law) requires more direct testing than indirect ones (e.g. environmental law), which are considered mainly through inquiry.</w:t>
      </w:r>
    </w:p>
    <w:p>
      <w:pPr>
        <w:pStyle w:val="ListParagraph"/>
        <w:numPr>
          <w:ilvl w:val="0"/>
          <w:numId w:val="2"/>
        </w:numPr>
        <w:bidi/>
        <w:spacing w:after="170" w:line="320"/>
        <w:jc w:val="right"/>
      </w:pPr>
      <w:r>
        <w:rPr>
          <w:rFonts w:ascii="Arial" w:cs="Arial" w:eastAsia="Arial" w:hAnsi="Arial"/>
          <w:color w:val="5B6472"/>
          <w:sz w:val="24"/>
          <w:szCs w:val="24"/>
        </w:rPr>
        <w:t xml:space="preserve">ISA 250 — يأخذ المدقق بالحسبان القوانين والأنظمة؛ عدم الامتثال المؤثر مباشرة على القوائم المالية (كقوانين الضرائب) يتطلب اختباراً مباشراً أكبر من عدم الامتثال غير المباشر (كقوانين البيئة) الذي يُتحقق منه غالباً بالاستفسار.</w:t>
      </w:r>
    </w:p>
    <w:p>
      <w:pPr>
        <w:pStyle w:val="Heading2"/>
        <w:pBdr>
          <w:left w:val="single" w:color="1F3864" w:sz="24" w:space="8"/>
        </w:pBdr>
        <w:spacing w:after="40" w:before="340"/>
        <w:ind w:left="120"/>
      </w:pPr>
      <w:r>
        <w:rPr>
          <w:rFonts w:ascii="Cambria" w:cs="Cambria" w:eastAsia="Cambria" w:hAnsi="Cambria"/>
          <w:b/>
          <w:bCs/>
          <w:color w:val="1F3864"/>
        </w:rPr>
        <w:t xml:space="preserve">5. Audit Documentation and Planning</w:t>
      </w:r>
    </w:p>
    <w:p>
      <w:pPr>
        <w:bidi/>
        <w:spacing w:after="180"/>
        <w:jc w:val="right"/>
      </w:pPr>
      <w:r>
        <w:rPr>
          <w:rFonts w:ascii="Arial" w:cs="Arial" w:eastAsia="Arial" w:hAnsi="Arial"/>
          <w:b/>
          <w:bCs/>
          <w:color w:val="1F3864"/>
          <w:sz w:val="24"/>
          <w:szCs w:val="24"/>
        </w:rPr>
        <w:t xml:space="preserve">٥. توثيق التدقيق والتخطيط</w:t>
      </w:r>
    </w:p>
    <w:p>
      <w:pPr>
        <w:pStyle w:val="ListParagraph"/>
        <w:numPr>
          <w:ilvl w:val="0"/>
          <w:numId w:val="2"/>
        </w:numPr>
        <w:spacing w:after="60" w:line="300"/>
      </w:pPr>
      <w:r>
        <w:rPr>
          <w:rFonts w:ascii="Calibri" w:cs="Calibri" w:eastAsia="Calibri" w:hAnsi="Calibri"/>
          <w:sz w:val="23"/>
          <w:szCs w:val="23"/>
        </w:rPr>
        <w:t xml:space="preserve">ISA 230 — working papers must be sufficient for an experienced auditor with no prior connection to the engagement to understand the work performed and conclusions reached.</w:t>
      </w:r>
    </w:p>
    <w:p>
      <w:pPr>
        <w:pStyle w:val="ListParagraph"/>
        <w:numPr>
          <w:ilvl w:val="0"/>
          <w:numId w:val="2"/>
        </w:numPr>
        <w:bidi/>
        <w:spacing w:after="170" w:line="320"/>
        <w:jc w:val="right"/>
      </w:pPr>
      <w:r>
        <w:rPr>
          <w:rFonts w:ascii="Arial" w:cs="Arial" w:eastAsia="Arial" w:hAnsi="Arial"/>
          <w:color w:val="5B6472"/>
          <w:sz w:val="24"/>
          <w:szCs w:val="24"/>
        </w:rPr>
        <w:t xml:space="preserve">ISA 230 — يجب أن تكون أوراق العمل كافية لتمكين مدقق ذي خبرة لم يشارك سابقاً في المهمة من فهم العمل المنجز والاستنتاجات التي تم التوصل إليها.</w:t>
      </w:r>
    </w:p>
    <w:p>
      <w:pPr>
        <w:pStyle w:val="ListParagraph"/>
        <w:numPr>
          <w:ilvl w:val="0"/>
          <w:numId w:val="2"/>
        </w:numPr>
        <w:spacing w:after="60" w:line="300"/>
      </w:pPr>
      <w:r>
        <w:rPr>
          <w:rFonts w:ascii="Calibri" w:cs="Calibri" w:eastAsia="Calibri" w:hAnsi="Calibri"/>
          <w:sz w:val="23"/>
          <w:szCs w:val="23"/>
        </w:rPr>
        <w:t xml:space="preserve">ISA 300 — planning includes establishing the overall audit strategy and developing a detailed audit plan; planning is continuous, not a one-off event.</w:t>
      </w:r>
    </w:p>
    <w:p>
      <w:pPr>
        <w:pStyle w:val="ListParagraph"/>
        <w:numPr>
          <w:ilvl w:val="0"/>
          <w:numId w:val="2"/>
        </w:numPr>
        <w:bidi/>
        <w:spacing w:after="170" w:line="320"/>
        <w:jc w:val="right"/>
      </w:pPr>
      <w:r>
        <w:rPr>
          <w:rFonts w:ascii="Arial" w:cs="Arial" w:eastAsia="Arial" w:hAnsi="Arial"/>
          <w:color w:val="5B6472"/>
          <w:sz w:val="24"/>
          <w:szCs w:val="24"/>
        </w:rPr>
        <w:t xml:space="preserve">ISA 300 — يشمل التخطيط وضع استراتيجية عامة للتدقيق وإعداد خطة تدقيق تفصيلية؛ والتخطيط عملية مستمرة وليست حدثاً لمرة واحدة.</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C: Internal Control</w:t>
      </w:r>
    </w:p>
    <w:p>
      <w:pPr>
        <w:bidi/>
        <w:spacing w:after="180"/>
        <w:jc w:val="right"/>
      </w:pPr>
      <w:r>
        <w:rPr>
          <w:rFonts w:ascii="Arial" w:cs="Arial" w:eastAsia="Arial" w:hAnsi="Arial"/>
          <w:b/>
          <w:bCs/>
          <w:color w:val="1F3864"/>
          <w:sz w:val="24"/>
          <w:szCs w:val="24"/>
        </w:rPr>
        <w:t xml:space="preserve">القسم ج: الرقابة الداخلية</w:t>
      </w:r>
    </w:p>
    <w:p>
      <w:pPr>
        <w:pStyle w:val="Heading2"/>
        <w:pBdr>
          <w:left w:val="single" w:color="1F3864" w:sz="24" w:space="8"/>
        </w:pBdr>
        <w:spacing w:after="40" w:before="340"/>
        <w:ind w:left="120"/>
      </w:pPr>
      <w:r>
        <w:rPr>
          <w:rFonts w:ascii="Cambria" w:cs="Cambria" w:eastAsia="Cambria" w:hAnsi="Cambria"/>
          <w:b/>
          <w:bCs/>
          <w:color w:val="1F3864"/>
        </w:rPr>
        <w:t xml:space="preserve">1. Components of Internal Control</w:t>
      </w:r>
    </w:p>
    <w:p>
      <w:pPr>
        <w:bidi/>
        <w:spacing w:after="180"/>
        <w:jc w:val="right"/>
      </w:pPr>
      <w:r>
        <w:rPr>
          <w:rFonts w:ascii="Arial" w:cs="Arial" w:eastAsia="Arial" w:hAnsi="Arial"/>
          <w:b/>
          <w:bCs/>
          <w:color w:val="1F3864"/>
          <w:sz w:val="24"/>
          <w:szCs w:val="24"/>
        </w:rPr>
        <w:t xml:space="preserve">١. مكونات الرقابة الداخلية</w:t>
      </w:r>
    </w:p>
    <w:p>
      <w:pPr>
        <w:pStyle w:val="ListParagraph"/>
        <w:numPr>
          <w:ilvl w:val="0"/>
          <w:numId w:val="2"/>
        </w:numPr>
        <w:spacing w:after="60" w:line="300"/>
      </w:pPr>
      <w:r>
        <w:rPr>
          <w:rFonts w:ascii="Calibri" w:cs="Calibri" w:eastAsia="Calibri" w:hAnsi="Calibri"/>
          <w:sz w:val="23"/>
          <w:szCs w:val="23"/>
        </w:rPr>
        <w:t xml:space="preserve">Control environment — tone at the top, integrity and ethical values, governance structure.</w:t>
      </w:r>
    </w:p>
    <w:p>
      <w:pPr>
        <w:pStyle w:val="ListParagraph"/>
        <w:numPr>
          <w:ilvl w:val="0"/>
          <w:numId w:val="2"/>
        </w:numPr>
        <w:bidi/>
        <w:spacing w:after="170" w:line="320"/>
        <w:jc w:val="right"/>
      </w:pPr>
      <w:r>
        <w:rPr>
          <w:rFonts w:ascii="Arial" w:cs="Arial" w:eastAsia="Arial" w:hAnsi="Arial"/>
          <w:color w:val="5B6472"/>
          <w:sz w:val="24"/>
          <w:szCs w:val="24"/>
        </w:rPr>
        <w:t xml:space="preserve">بيئة الرقابة — النبرة الأخلاقية من الإدارة العليا، النزاهة والقيم الأخلاقية، هيكل الحوكمة.</w:t>
      </w:r>
    </w:p>
    <w:p>
      <w:pPr>
        <w:pStyle w:val="ListParagraph"/>
        <w:numPr>
          <w:ilvl w:val="0"/>
          <w:numId w:val="2"/>
        </w:numPr>
        <w:spacing w:after="60" w:line="300"/>
      </w:pPr>
      <w:r>
        <w:rPr>
          <w:rFonts w:ascii="Calibri" w:cs="Calibri" w:eastAsia="Calibri" w:hAnsi="Calibri"/>
          <w:sz w:val="23"/>
          <w:szCs w:val="23"/>
        </w:rPr>
        <w:t xml:space="preserve">Entity's risk assessment process — how management identifies and responds to business risks.</w:t>
      </w:r>
    </w:p>
    <w:p>
      <w:pPr>
        <w:pStyle w:val="ListParagraph"/>
        <w:numPr>
          <w:ilvl w:val="0"/>
          <w:numId w:val="2"/>
        </w:numPr>
        <w:bidi/>
        <w:spacing w:after="170" w:line="320"/>
        <w:jc w:val="right"/>
      </w:pPr>
      <w:r>
        <w:rPr>
          <w:rFonts w:ascii="Arial" w:cs="Arial" w:eastAsia="Arial" w:hAnsi="Arial"/>
          <w:color w:val="5B6472"/>
          <w:sz w:val="24"/>
          <w:szCs w:val="24"/>
        </w:rPr>
        <w:t xml:space="preserve">عملية تقييم المخاطر لدى المنشأة — كيفية تحديد الإدارة للمخاطر التجارية والاستجابة لها.</w:t>
      </w:r>
    </w:p>
    <w:p>
      <w:pPr>
        <w:pStyle w:val="ListParagraph"/>
        <w:numPr>
          <w:ilvl w:val="0"/>
          <w:numId w:val="2"/>
        </w:numPr>
        <w:spacing w:after="60" w:line="300"/>
      </w:pPr>
      <w:r>
        <w:rPr>
          <w:rFonts w:ascii="Calibri" w:cs="Calibri" w:eastAsia="Calibri" w:hAnsi="Calibri"/>
          <w:sz w:val="23"/>
          <w:szCs w:val="23"/>
        </w:rPr>
        <w:t xml:space="preserve">Control activities — approvals, authorisations, reconciliations, segregation of duties, physical controls.</w:t>
      </w:r>
    </w:p>
    <w:p>
      <w:pPr>
        <w:pStyle w:val="ListParagraph"/>
        <w:numPr>
          <w:ilvl w:val="0"/>
          <w:numId w:val="2"/>
        </w:numPr>
        <w:bidi/>
        <w:spacing w:after="170" w:line="320"/>
        <w:jc w:val="right"/>
      </w:pPr>
      <w:r>
        <w:rPr>
          <w:rFonts w:ascii="Arial" w:cs="Arial" w:eastAsia="Arial" w:hAnsi="Arial"/>
          <w:color w:val="5B6472"/>
          <w:sz w:val="24"/>
          <w:szCs w:val="24"/>
        </w:rPr>
        <w:t xml:space="preserve">أنشطة الرقابة — الموافقات والتفويضات والتسويات والفصل بين المهام والرقابة المادية.</w:t>
      </w:r>
    </w:p>
    <w:p>
      <w:pPr>
        <w:pStyle w:val="ListParagraph"/>
        <w:numPr>
          <w:ilvl w:val="0"/>
          <w:numId w:val="2"/>
        </w:numPr>
        <w:spacing w:after="60" w:line="300"/>
      </w:pPr>
      <w:r>
        <w:rPr>
          <w:rFonts w:ascii="Calibri" w:cs="Calibri" w:eastAsia="Calibri" w:hAnsi="Calibri"/>
          <w:sz w:val="23"/>
          <w:szCs w:val="23"/>
        </w:rPr>
        <w:t xml:space="preserve">Information system and communication relevant to financial reporting.</w:t>
      </w:r>
    </w:p>
    <w:p>
      <w:pPr>
        <w:pStyle w:val="ListParagraph"/>
        <w:numPr>
          <w:ilvl w:val="0"/>
          <w:numId w:val="2"/>
        </w:numPr>
        <w:bidi/>
        <w:spacing w:after="170" w:line="320"/>
        <w:jc w:val="right"/>
      </w:pPr>
      <w:r>
        <w:rPr>
          <w:rFonts w:ascii="Arial" w:cs="Arial" w:eastAsia="Arial" w:hAnsi="Arial"/>
          <w:color w:val="5B6472"/>
          <w:sz w:val="24"/>
          <w:szCs w:val="24"/>
        </w:rPr>
        <w:t xml:space="preserve">نظام المعلومات والاتصال المتعلق بإعداد التقارير المالية.</w:t>
      </w:r>
    </w:p>
    <w:p>
      <w:pPr>
        <w:pStyle w:val="ListParagraph"/>
        <w:numPr>
          <w:ilvl w:val="0"/>
          <w:numId w:val="2"/>
        </w:numPr>
        <w:spacing w:after="60" w:line="300"/>
      </w:pPr>
      <w:r>
        <w:rPr>
          <w:rFonts w:ascii="Calibri" w:cs="Calibri" w:eastAsia="Calibri" w:hAnsi="Calibri"/>
          <w:sz w:val="23"/>
          <w:szCs w:val="23"/>
        </w:rPr>
        <w:t xml:space="preserve">Monitoring of controls — ongoing evaluations to assess whether controls are operating effectively.</w:t>
      </w:r>
    </w:p>
    <w:p>
      <w:pPr>
        <w:pStyle w:val="ListParagraph"/>
        <w:numPr>
          <w:ilvl w:val="0"/>
          <w:numId w:val="2"/>
        </w:numPr>
        <w:bidi/>
        <w:spacing w:after="170" w:line="320"/>
        <w:jc w:val="right"/>
      </w:pPr>
      <w:r>
        <w:rPr>
          <w:rFonts w:ascii="Arial" w:cs="Arial" w:eastAsia="Arial" w:hAnsi="Arial"/>
          <w:color w:val="5B6472"/>
          <w:sz w:val="24"/>
          <w:szCs w:val="24"/>
        </w:rPr>
        <w:t xml:space="preserve">مراقبة الضوابط — تقييمات مستمرة للتأكد من فعالية تشغيل الضوابط.</w:t>
      </w:r>
    </w:p>
    <w:p>
      <w:pPr>
        <w:pStyle w:val="Heading2"/>
        <w:pBdr>
          <w:left w:val="single" w:color="1F3864" w:sz="24" w:space="8"/>
        </w:pBdr>
        <w:spacing w:after="40" w:before="340"/>
        <w:ind w:left="120"/>
      </w:pPr>
      <w:r>
        <w:rPr>
          <w:rFonts w:ascii="Cambria" w:cs="Cambria" w:eastAsia="Cambria" w:hAnsi="Cambria"/>
          <w:b/>
          <w:bCs/>
          <w:color w:val="1F3864"/>
        </w:rPr>
        <w:t xml:space="preserve">2. Tests of Control vs Substantive Procedures</w:t>
      </w:r>
    </w:p>
    <w:p>
      <w:pPr>
        <w:bidi/>
        <w:spacing w:after="180"/>
        <w:jc w:val="right"/>
      </w:pPr>
      <w:r>
        <w:rPr>
          <w:rFonts w:ascii="Arial" w:cs="Arial" w:eastAsia="Arial" w:hAnsi="Arial"/>
          <w:b/>
          <w:bCs/>
          <w:color w:val="1F3864"/>
          <w:sz w:val="24"/>
          <w:szCs w:val="24"/>
        </w:rPr>
        <w:t xml:space="preserve">٢. اختبارات الرقابة مقابل الإجراءات الجوهرية</w:t>
      </w:r>
    </w:p>
    <w:p>
      <w:pPr>
        <w:spacing w:after="160" w:line="300"/>
      </w:pPr>
      <w:r>
        <w:rPr>
          <w:rFonts w:ascii="Calibri" w:cs="Calibri" w:eastAsia="Calibri" w:hAnsi="Calibri"/>
          <w:sz w:val="25"/>
          <w:szCs w:val="25"/>
        </w:rPr>
        <w:t xml:space="preserve">Tests of control evaluate the operating effectiveness of controls in preventing or detecting material misstatements. Substantive procedures (tests of detail and substantive analytical procedures) directly detect material misstatements in transactions, balances, and disclosures. Substantive procedures are always required for material items, regardless of assessed control risk.</w:t>
      </w:r>
    </w:p>
    <w:p>
      <w:pPr>
        <w:bidi/>
        <w:spacing w:after="260" w:line="340"/>
        <w:jc w:val="right"/>
      </w:pPr>
      <w:r>
        <w:rPr>
          <w:rFonts w:ascii="Arial" w:cs="Arial" w:eastAsia="Arial" w:hAnsi="Arial"/>
          <w:sz w:val="26"/>
          <w:szCs w:val="26"/>
        </w:rPr>
        <w:t xml:space="preserve">تُقيّم اختبارات الرقابة مدى فعالية تشغيل الضوابط في منع أو اكتشاف التحريفات الجوهرية. أما الإجراءات الجوهرية (اختبارات التفاصيل والإجراءات التحليلية الجوهرية) فتكتشف مباشرة التحريفات الجوهرية في المعاملات والأرصدة والإفصاحات. الإجراءات الجوهرية مطلوبة دائماً للبنود الجوهرية، بغض النظر عن مستوى مخاطر الرقابة المُقدَّر.</w:t>
      </w:r>
    </w:p>
    <w:p>
      <w:pPr>
        <w:pStyle w:val="Heading2"/>
        <w:pBdr>
          <w:left w:val="single" w:color="1F3864" w:sz="24" w:space="8"/>
        </w:pBdr>
        <w:spacing w:after="40" w:before="340"/>
        <w:ind w:left="120"/>
      </w:pPr>
      <w:r>
        <w:rPr>
          <w:rFonts w:ascii="Cambria" w:cs="Cambria" w:eastAsia="Cambria" w:hAnsi="Cambria"/>
          <w:b/>
          <w:bCs/>
          <w:color w:val="1F3864"/>
        </w:rPr>
        <w:t xml:space="preserve">3. Deficiencies in Internal Control</w:t>
      </w:r>
    </w:p>
    <w:p>
      <w:pPr>
        <w:bidi/>
        <w:spacing w:after="180"/>
        <w:jc w:val="right"/>
      </w:pPr>
      <w:r>
        <w:rPr>
          <w:rFonts w:ascii="Arial" w:cs="Arial" w:eastAsia="Arial" w:hAnsi="Arial"/>
          <w:b/>
          <w:bCs/>
          <w:color w:val="1F3864"/>
          <w:sz w:val="24"/>
          <w:szCs w:val="24"/>
        </w:rPr>
        <w:t xml:space="preserve">٣. أوجه القصور في الرقابة الداخلية</w:t>
      </w:r>
    </w:p>
    <w:p>
      <w:pPr>
        <w:spacing w:after="160" w:line="300"/>
      </w:pPr>
      <w:r>
        <w:rPr>
          <w:rFonts w:ascii="Calibri" w:cs="Calibri" w:eastAsia="Calibri" w:hAnsi="Calibri"/>
          <w:sz w:val="25"/>
          <w:szCs w:val="25"/>
        </w:rPr>
        <w:t xml:space="preserve">ISA 265 requires the auditor to communicate significant deficiencies in internal control identified during the audit to those charged with governance, in writing and on a timely basis.</w:t>
      </w:r>
    </w:p>
    <w:p>
      <w:pPr>
        <w:bidi/>
        <w:spacing w:after="260" w:line="340"/>
        <w:jc w:val="right"/>
      </w:pPr>
      <w:r>
        <w:rPr>
          <w:rFonts w:ascii="Arial" w:cs="Arial" w:eastAsia="Arial" w:hAnsi="Arial"/>
          <w:sz w:val="26"/>
          <w:szCs w:val="26"/>
        </w:rPr>
        <w:t xml:space="preserve">يتطلب معيار ISA 265 من المدقق إبلاغ المكلفين بالحوكمة كتابياً وفي الوقت المناسب عن أوجه القصور الجوهرية في الرقابة الداخلية التي تم اكتشافها أثناء التدقيق.</w:t>
      </w:r>
    </w:p>
    <w:p>
      <w:pPr>
        <w:pStyle w:val="Heading2"/>
        <w:pBdr>
          <w:left w:val="single" w:color="1F3864" w:sz="24" w:space="8"/>
        </w:pBdr>
        <w:spacing w:after="40" w:before="340"/>
        <w:ind w:left="120"/>
      </w:pPr>
      <w:r>
        <w:rPr>
          <w:rFonts w:ascii="Cambria" w:cs="Cambria" w:eastAsia="Cambria" w:hAnsi="Cambria"/>
          <w:b/>
          <w:bCs/>
          <w:color w:val="1F3864"/>
        </w:rPr>
        <w:t xml:space="preserve">4. IT Controls</w:t>
      </w:r>
    </w:p>
    <w:p>
      <w:pPr>
        <w:bidi/>
        <w:spacing w:after="180"/>
        <w:jc w:val="right"/>
      </w:pPr>
      <w:r>
        <w:rPr>
          <w:rFonts w:ascii="Arial" w:cs="Arial" w:eastAsia="Arial" w:hAnsi="Arial"/>
          <w:b/>
          <w:bCs/>
          <w:color w:val="1F3864"/>
          <w:sz w:val="24"/>
          <w:szCs w:val="24"/>
        </w:rPr>
        <w:t xml:space="preserve">٤. ضوابط تقنية المعلومات</w:t>
      </w:r>
    </w:p>
    <w:p>
      <w:pPr>
        <w:pStyle w:val="ListParagraph"/>
        <w:numPr>
          <w:ilvl w:val="0"/>
          <w:numId w:val="2"/>
        </w:numPr>
        <w:spacing w:after="60" w:line="300"/>
      </w:pPr>
      <w:r>
        <w:rPr>
          <w:rFonts w:ascii="Calibri" w:cs="Calibri" w:eastAsia="Calibri" w:hAnsi="Calibri"/>
          <w:sz w:val="23"/>
          <w:szCs w:val="23"/>
        </w:rPr>
        <w:t xml:space="preserve">General IT controls — apply across systems: access controls, change management, backup and disaster recovery.</w:t>
      </w:r>
    </w:p>
    <w:p>
      <w:pPr>
        <w:pStyle w:val="ListParagraph"/>
        <w:numPr>
          <w:ilvl w:val="0"/>
          <w:numId w:val="2"/>
        </w:numPr>
        <w:bidi/>
        <w:spacing w:after="170" w:line="320"/>
        <w:jc w:val="right"/>
      </w:pPr>
      <w:r>
        <w:rPr>
          <w:rFonts w:ascii="Arial" w:cs="Arial" w:eastAsia="Arial" w:hAnsi="Arial"/>
          <w:color w:val="5B6472"/>
          <w:sz w:val="24"/>
          <w:szCs w:val="24"/>
        </w:rPr>
        <w:t xml:space="preserve">الضوابط العامة لتقنية المعلومات — تُطبَّق على مستوى الأنظمة ككل: التحكم بالوصول، إدارة التغييرات، النسخ الاحتياطي واستعادة البيانات بعد الكوارث.</w:t>
      </w:r>
    </w:p>
    <w:p>
      <w:pPr>
        <w:pStyle w:val="ListParagraph"/>
        <w:numPr>
          <w:ilvl w:val="0"/>
          <w:numId w:val="2"/>
        </w:numPr>
        <w:spacing w:after="60" w:line="300"/>
      </w:pPr>
      <w:r>
        <w:rPr>
          <w:rFonts w:ascii="Calibri" w:cs="Calibri" w:eastAsia="Calibri" w:hAnsi="Calibri"/>
          <w:sz w:val="23"/>
          <w:szCs w:val="23"/>
        </w:rPr>
        <w:t xml:space="preserve">Application controls — specific to individual systems: input validation checks, sequence checks, matching/reconciliation controls.</w:t>
      </w:r>
    </w:p>
    <w:p>
      <w:pPr>
        <w:pStyle w:val="ListParagraph"/>
        <w:numPr>
          <w:ilvl w:val="0"/>
          <w:numId w:val="2"/>
        </w:numPr>
        <w:bidi/>
        <w:spacing w:after="170" w:line="320"/>
        <w:jc w:val="right"/>
      </w:pPr>
      <w:r>
        <w:rPr>
          <w:rFonts w:ascii="Arial" w:cs="Arial" w:eastAsia="Arial" w:hAnsi="Arial"/>
          <w:color w:val="5B6472"/>
          <w:sz w:val="24"/>
          <w:szCs w:val="24"/>
        </w:rPr>
        <w:t xml:space="preserve">الضوابط الخاصة بالتطبيقات — تخص أنظمة محددة: التحقق من صحة المدخلات، فحص التسلسل، ضوابط المطابقة والتسوية.</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D: Audit Evidence</w:t>
      </w:r>
    </w:p>
    <w:p>
      <w:pPr>
        <w:bidi/>
        <w:spacing w:after="180"/>
        <w:jc w:val="right"/>
      </w:pPr>
      <w:r>
        <w:rPr>
          <w:rFonts w:ascii="Arial" w:cs="Arial" w:eastAsia="Arial" w:hAnsi="Arial"/>
          <w:b/>
          <w:bCs/>
          <w:color w:val="1F3864"/>
          <w:sz w:val="24"/>
          <w:szCs w:val="24"/>
        </w:rPr>
        <w:t xml:space="preserve">القسم د: أدلة التدقيق</w:t>
      </w:r>
    </w:p>
    <w:p>
      <w:pPr>
        <w:pStyle w:val="Heading2"/>
        <w:pBdr>
          <w:left w:val="single" w:color="1F3864" w:sz="24" w:space="8"/>
        </w:pBdr>
        <w:spacing w:after="40" w:before="340"/>
        <w:ind w:left="120"/>
      </w:pPr>
      <w:r>
        <w:rPr>
          <w:rFonts w:ascii="Cambria" w:cs="Cambria" w:eastAsia="Cambria" w:hAnsi="Cambria"/>
          <w:b/>
          <w:bCs/>
          <w:color w:val="1F3864"/>
        </w:rPr>
        <w:t xml:space="preserve">1. Sufficient Appropriate Audit Evidence</w:t>
      </w:r>
    </w:p>
    <w:p>
      <w:pPr>
        <w:bidi/>
        <w:spacing w:after="180"/>
        <w:jc w:val="right"/>
      </w:pPr>
      <w:r>
        <w:rPr>
          <w:rFonts w:ascii="Arial" w:cs="Arial" w:eastAsia="Arial" w:hAnsi="Arial"/>
          <w:b/>
          <w:bCs/>
          <w:color w:val="1F3864"/>
          <w:sz w:val="24"/>
          <w:szCs w:val="24"/>
        </w:rPr>
        <w:t xml:space="preserve">١. أدلة التدقيق الكافية والملائمة</w:t>
      </w:r>
    </w:p>
    <w:p>
      <w:pPr>
        <w:spacing w:after="160" w:line="300"/>
      </w:pPr>
      <w:r>
        <w:rPr>
          <w:rFonts w:ascii="Calibri" w:cs="Calibri" w:eastAsia="Calibri" w:hAnsi="Calibri"/>
          <w:sz w:val="25"/>
          <w:szCs w:val="25"/>
        </w:rPr>
        <w:t xml:space="preserve">ISA 500 requires evidence to be both sufficient (quantity) and appropriate (quality — relevant and reliable). Reliability is generally higher for evidence obtained directly by the auditor, from independent external sources, in documentary form, and from original documents.</w:t>
      </w:r>
    </w:p>
    <w:p>
      <w:pPr>
        <w:bidi/>
        <w:spacing w:after="260" w:line="340"/>
        <w:jc w:val="right"/>
      </w:pPr>
      <w:r>
        <w:rPr>
          <w:rFonts w:ascii="Arial" w:cs="Arial" w:eastAsia="Arial" w:hAnsi="Arial"/>
          <w:sz w:val="26"/>
          <w:szCs w:val="26"/>
        </w:rPr>
        <w:t xml:space="preserve">يتطلب معيار ISA 500 أن تكون الأدلة كافية (من حيث الكمية) وملائمة (من حيث الجودة — أي مرتبطة وموثوقة). تكون الموثوقية أعلى عموماً للأدلة التي يحصل عليها المدقق مباشرة، من مصادر خارجية مستقلة، وبصيغة موثقة، ومن مستندات أصلية.</w:t>
      </w:r>
    </w:p>
    <w:p>
      <w:pPr>
        <w:pStyle w:val="Heading2"/>
        <w:pBdr>
          <w:left w:val="single" w:color="1F3864" w:sz="24" w:space="8"/>
        </w:pBdr>
        <w:spacing w:after="40" w:before="340"/>
        <w:ind w:left="120"/>
      </w:pPr>
      <w:r>
        <w:rPr>
          <w:rFonts w:ascii="Cambria" w:cs="Cambria" w:eastAsia="Cambria" w:hAnsi="Cambria"/>
          <w:b/>
          <w:bCs/>
          <w:color w:val="1F3864"/>
        </w:rPr>
        <w:t xml:space="preserve">2. Audit Procedures for Obtaining Evidence</w:t>
      </w:r>
    </w:p>
    <w:p>
      <w:pPr>
        <w:bidi/>
        <w:spacing w:after="180"/>
        <w:jc w:val="right"/>
      </w:pPr>
      <w:r>
        <w:rPr>
          <w:rFonts w:ascii="Arial" w:cs="Arial" w:eastAsia="Arial" w:hAnsi="Arial"/>
          <w:b/>
          <w:bCs/>
          <w:color w:val="1F3864"/>
          <w:sz w:val="24"/>
          <w:szCs w:val="24"/>
        </w:rPr>
        <w:t xml:space="preserve">٢. إجراءات الحصول على الأدلة</w:t>
      </w:r>
    </w:p>
    <w:p>
      <w:pPr>
        <w:pStyle w:val="ListParagraph"/>
        <w:numPr>
          <w:ilvl w:val="0"/>
          <w:numId w:val="2"/>
        </w:numPr>
        <w:spacing w:after="60" w:line="300"/>
      </w:pPr>
      <w:r>
        <w:rPr>
          <w:rFonts w:ascii="Calibri" w:cs="Calibri" w:eastAsia="Calibri" w:hAnsi="Calibri"/>
          <w:sz w:val="23"/>
          <w:szCs w:val="23"/>
        </w:rPr>
        <w:t xml:space="preserve">Inspection — examining records, documents, or physical assets.</w:t>
      </w:r>
    </w:p>
    <w:p>
      <w:pPr>
        <w:pStyle w:val="ListParagraph"/>
        <w:numPr>
          <w:ilvl w:val="0"/>
          <w:numId w:val="2"/>
        </w:numPr>
        <w:bidi/>
        <w:spacing w:after="170" w:line="320"/>
        <w:jc w:val="right"/>
      </w:pPr>
      <w:r>
        <w:rPr>
          <w:rFonts w:ascii="Arial" w:cs="Arial" w:eastAsia="Arial" w:hAnsi="Arial"/>
          <w:color w:val="5B6472"/>
          <w:sz w:val="24"/>
          <w:szCs w:val="24"/>
        </w:rPr>
        <w:t xml:space="preserve">الفحص (Inspection) — دراسة السجلات أو المستندات أو الأصول المادية.</w:t>
      </w:r>
    </w:p>
    <w:p>
      <w:pPr>
        <w:pStyle w:val="ListParagraph"/>
        <w:numPr>
          <w:ilvl w:val="0"/>
          <w:numId w:val="2"/>
        </w:numPr>
        <w:spacing w:after="60" w:line="300"/>
      </w:pPr>
      <w:r>
        <w:rPr>
          <w:rFonts w:ascii="Calibri" w:cs="Calibri" w:eastAsia="Calibri" w:hAnsi="Calibri"/>
          <w:sz w:val="23"/>
          <w:szCs w:val="23"/>
        </w:rPr>
        <w:t xml:space="preserve">Observation — watching a process or procedure being performed.</w:t>
      </w:r>
    </w:p>
    <w:p>
      <w:pPr>
        <w:pStyle w:val="ListParagraph"/>
        <w:numPr>
          <w:ilvl w:val="0"/>
          <w:numId w:val="2"/>
        </w:numPr>
        <w:bidi/>
        <w:spacing w:after="170" w:line="320"/>
        <w:jc w:val="right"/>
      </w:pPr>
      <w:r>
        <w:rPr>
          <w:rFonts w:ascii="Arial" w:cs="Arial" w:eastAsia="Arial" w:hAnsi="Arial"/>
          <w:color w:val="5B6472"/>
          <w:sz w:val="24"/>
          <w:szCs w:val="24"/>
        </w:rPr>
        <w:t xml:space="preserve">الملاحظة (Observation) — مراقبة تنفيذ عملية أو إجراء ما.</w:t>
      </w:r>
    </w:p>
    <w:p>
      <w:pPr>
        <w:pStyle w:val="ListParagraph"/>
        <w:numPr>
          <w:ilvl w:val="0"/>
          <w:numId w:val="2"/>
        </w:numPr>
        <w:spacing w:after="60" w:line="300"/>
      </w:pPr>
      <w:r>
        <w:rPr>
          <w:rFonts w:ascii="Calibri" w:cs="Calibri" w:eastAsia="Calibri" w:hAnsi="Calibri"/>
          <w:sz w:val="23"/>
          <w:szCs w:val="23"/>
        </w:rPr>
        <w:t xml:space="preserve">External confirmation — obtaining a direct written response from a third party (e.g. bank, receivable).</w:t>
      </w:r>
    </w:p>
    <w:p>
      <w:pPr>
        <w:pStyle w:val="ListParagraph"/>
        <w:numPr>
          <w:ilvl w:val="0"/>
          <w:numId w:val="2"/>
        </w:numPr>
        <w:bidi/>
        <w:spacing w:after="170" w:line="320"/>
        <w:jc w:val="right"/>
      </w:pPr>
      <w:r>
        <w:rPr>
          <w:rFonts w:ascii="Arial" w:cs="Arial" w:eastAsia="Arial" w:hAnsi="Arial"/>
          <w:color w:val="5B6472"/>
          <w:sz w:val="24"/>
          <w:szCs w:val="24"/>
        </w:rPr>
        <w:t xml:space="preserve">المصادقة الخارجية (Confirmation) — الحصول على رد كتابي مباشر من طرف ثالث (كالبنك أو المدين).</w:t>
      </w:r>
    </w:p>
    <w:p>
      <w:pPr>
        <w:pStyle w:val="ListParagraph"/>
        <w:numPr>
          <w:ilvl w:val="0"/>
          <w:numId w:val="2"/>
        </w:numPr>
        <w:spacing w:after="60" w:line="300"/>
      </w:pPr>
      <w:r>
        <w:rPr>
          <w:rFonts w:ascii="Calibri" w:cs="Calibri" w:eastAsia="Calibri" w:hAnsi="Calibri"/>
          <w:sz w:val="23"/>
          <w:szCs w:val="23"/>
        </w:rPr>
        <w:t xml:space="preserve">Recalculation — checking the mathematical accuracy of documents/records.</w:t>
      </w:r>
    </w:p>
    <w:p>
      <w:pPr>
        <w:pStyle w:val="ListParagraph"/>
        <w:numPr>
          <w:ilvl w:val="0"/>
          <w:numId w:val="2"/>
        </w:numPr>
        <w:bidi/>
        <w:spacing w:after="170" w:line="320"/>
        <w:jc w:val="right"/>
      </w:pPr>
      <w:r>
        <w:rPr>
          <w:rFonts w:ascii="Arial" w:cs="Arial" w:eastAsia="Arial" w:hAnsi="Arial"/>
          <w:color w:val="5B6472"/>
          <w:sz w:val="24"/>
          <w:szCs w:val="24"/>
        </w:rPr>
        <w:t xml:space="preserve">إعادة الاحتساب (Recalculation) — التحقق من الدقة الحسابية للمستندات أو السجلات.</w:t>
      </w:r>
    </w:p>
    <w:p>
      <w:pPr>
        <w:pStyle w:val="ListParagraph"/>
        <w:numPr>
          <w:ilvl w:val="0"/>
          <w:numId w:val="2"/>
        </w:numPr>
        <w:spacing w:after="60" w:line="300"/>
      </w:pPr>
      <w:r>
        <w:rPr>
          <w:rFonts w:ascii="Calibri" w:cs="Calibri" w:eastAsia="Calibri" w:hAnsi="Calibri"/>
          <w:sz w:val="23"/>
          <w:szCs w:val="23"/>
        </w:rPr>
        <w:t xml:space="preserve">Reperformance — the auditor independently executes a procedure originally performed by the client.</w:t>
      </w:r>
    </w:p>
    <w:p>
      <w:pPr>
        <w:pStyle w:val="ListParagraph"/>
        <w:numPr>
          <w:ilvl w:val="0"/>
          <w:numId w:val="2"/>
        </w:numPr>
        <w:bidi/>
        <w:spacing w:after="170" w:line="320"/>
        <w:jc w:val="right"/>
      </w:pPr>
      <w:r>
        <w:rPr>
          <w:rFonts w:ascii="Arial" w:cs="Arial" w:eastAsia="Arial" w:hAnsi="Arial"/>
          <w:color w:val="5B6472"/>
          <w:sz w:val="24"/>
          <w:szCs w:val="24"/>
        </w:rPr>
        <w:t xml:space="preserve">إعادة التنفيذ (Reperformance) — يقوم المدقق بتنفيذ إجراء بشكل مستقل كان قد نفّذه العميل أصلاً.</w:t>
      </w:r>
    </w:p>
    <w:p>
      <w:pPr>
        <w:pStyle w:val="ListParagraph"/>
        <w:numPr>
          <w:ilvl w:val="0"/>
          <w:numId w:val="2"/>
        </w:numPr>
        <w:spacing w:after="60" w:line="300"/>
      </w:pPr>
      <w:r>
        <w:rPr>
          <w:rFonts w:ascii="Calibri" w:cs="Calibri" w:eastAsia="Calibri" w:hAnsi="Calibri"/>
          <w:sz w:val="23"/>
          <w:szCs w:val="23"/>
        </w:rPr>
        <w:t xml:space="preserve">Inquiry — seeking information from knowledgeable people (must always be corroborated with other evidence).</w:t>
      </w:r>
    </w:p>
    <w:p>
      <w:pPr>
        <w:pStyle w:val="ListParagraph"/>
        <w:numPr>
          <w:ilvl w:val="0"/>
          <w:numId w:val="2"/>
        </w:numPr>
        <w:bidi/>
        <w:spacing w:after="170" w:line="320"/>
        <w:jc w:val="right"/>
      </w:pPr>
      <w:r>
        <w:rPr>
          <w:rFonts w:ascii="Arial" w:cs="Arial" w:eastAsia="Arial" w:hAnsi="Arial"/>
          <w:color w:val="5B6472"/>
          <w:sz w:val="24"/>
          <w:szCs w:val="24"/>
        </w:rPr>
        <w:t xml:space="preserve">الاستفسار (Inquiry) — طلب معلومات من أشخاص مطّلعين (يجب دائماً دعمه بأدلة أخرى).</w:t>
      </w:r>
    </w:p>
    <w:p>
      <w:pPr>
        <w:pStyle w:val="ListParagraph"/>
        <w:numPr>
          <w:ilvl w:val="0"/>
          <w:numId w:val="2"/>
        </w:numPr>
        <w:spacing w:after="60" w:line="300"/>
      </w:pPr>
      <w:r>
        <w:rPr>
          <w:rFonts w:ascii="Calibri" w:cs="Calibri" w:eastAsia="Calibri" w:hAnsi="Calibri"/>
          <w:sz w:val="23"/>
          <w:szCs w:val="23"/>
        </w:rPr>
        <w:t xml:space="preserve">Analytical procedures — evaluating financial information through analysis of relationships among data.</w:t>
      </w:r>
    </w:p>
    <w:p>
      <w:pPr>
        <w:pStyle w:val="ListParagraph"/>
        <w:numPr>
          <w:ilvl w:val="0"/>
          <w:numId w:val="2"/>
        </w:numPr>
        <w:bidi/>
        <w:spacing w:after="170" w:line="320"/>
        <w:jc w:val="right"/>
      </w:pPr>
      <w:r>
        <w:rPr>
          <w:rFonts w:ascii="Arial" w:cs="Arial" w:eastAsia="Arial" w:hAnsi="Arial"/>
          <w:color w:val="5B6472"/>
          <w:sz w:val="24"/>
          <w:szCs w:val="24"/>
        </w:rPr>
        <w:t xml:space="preserve">الإجراءات التحليلية — تقييم المعلومات المالية من خلال تحليل العلاقات بين البيانات.</w:t>
      </w:r>
    </w:p>
    <w:p>
      <w:pPr>
        <w:pStyle w:val="Heading2"/>
        <w:pBdr>
          <w:left w:val="single" w:color="1F3864" w:sz="24" w:space="8"/>
        </w:pBdr>
        <w:spacing w:after="40" w:before="340"/>
        <w:ind w:left="120"/>
      </w:pPr>
      <w:r>
        <w:rPr>
          <w:rFonts w:ascii="Cambria" w:cs="Cambria" w:eastAsia="Cambria" w:hAnsi="Cambria"/>
          <w:b/>
          <w:bCs/>
          <w:color w:val="1F3864"/>
        </w:rPr>
        <w:t xml:space="preserve">3. Audit Sampling</w:t>
      </w:r>
    </w:p>
    <w:p>
      <w:pPr>
        <w:bidi/>
        <w:spacing w:after="180"/>
        <w:jc w:val="right"/>
      </w:pPr>
      <w:r>
        <w:rPr>
          <w:rFonts w:ascii="Arial" w:cs="Arial" w:eastAsia="Arial" w:hAnsi="Arial"/>
          <w:b/>
          <w:bCs/>
          <w:color w:val="1F3864"/>
          <w:sz w:val="24"/>
          <w:szCs w:val="24"/>
        </w:rPr>
        <w:t xml:space="preserve">٣. أخذ العينات في التدقيق</w:t>
      </w:r>
    </w:p>
    <w:p>
      <w:pPr>
        <w:spacing w:after="160" w:line="300"/>
      </w:pPr>
      <w:r>
        <w:rPr>
          <w:rFonts w:ascii="Calibri" w:cs="Calibri" w:eastAsia="Calibri" w:hAnsi="Calibri"/>
          <w:sz w:val="25"/>
          <w:szCs w:val="25"/>
        </w:rPr>
        <w:t xml:space="preserve">ISA 530 allows the auditor to apply procedures to less than 100% of a population and draw conclusions about the whole population. Sampling risk is the risk that the sample's conclusion differs from the conclusion if the entire population were tested.</w:t>
      </w:r>
    </w:p>
    <w:p>
      <w:pPr>
        <w:bidi/>
        <w:spacing w:after="260" w:line="340"/>
        <w:jc w:val="right"/>
      </w:pPr>
      <w:r>
        <w:rPr>
          <w:rFonts w:ascii="Arial" w:cs="Arial" w:eastAsia="Arial" w:hAnsi="Arial"/>
          <w:sz w:val="26"/>
          <w:szCs w:val="26"/>
        </w:rPr>
        <w:t xml:space="preserve">يسمح معيار ISA 530 للمدقق بتطبيق الإجراءات على أقل من ١٠٠٪ من مجتمع البيانات واستخلاص استنتاجات حول المجتمع بأكمله. مخاطر أخذ العينات هي احتمال أن يختلف استنتاج العينة عن الاستنتاج الذي كان سيُتوصل إليه لو اختُبر المجتمع بأكمله.</w:t>
      </w:r>
    </w:p>
    <w:p>
      <w:pPr>
        <w:pStyle w:val="Heading2"/>
        <w:pBdr>
          <w:left w:val="single" w:color="1F3864" w:sz="24" w:space="8"/>
        </w:pBdr>
        <w:spacing w:after="40" w:before="340"/>
        <w:ind w:left="120"/>
      </w:pPr>
      <w:r>
        <w:rPr>
          <w:rFonts w:ascii="Cambria" w:cs="Cambria" w:eastAsia="Cambria" w:hAnsi="Cambria"/>
          <w:b/>
          <w:bCs/>
          <w:color w:val="1F3864"/>
        </w:rPr>
        <w:t xml:space="preserve">4. Key Financial Statement Areas</w:t>
      </w:r>
    </w:p>
    <w:p>
      <w:pPr>
        <w:bidi/>
        <w:spacing w:after="180"/>
        <w:jc w:val="right"/>
      </w:pPr>
      <w:r>
        <w:rPr>
          <w:rFonts w:ascii="Arial" w:cs="Arial" w:eastAsia="Arial" w:hAnsi="Arial"/>
          <w:b/>
          <w:bCs/>
          <w:color w:val="1F3864"/>
          <w:sz w:val="24"/>
          <w:szCs w:val="24"/>
        </w:rPr>
        <w:t xml:space="preserve">٤. أبرز بنود القوائم المالية وإجراءات تدقيقها</w:t>
      </w:r>
    </w:p>
    <w:p>
      <w:pPr>
        <w:pStyle w:val="ListParagraph"/>
        <w:numPr>
          <w:ilvl w:val="0"/>
          <w:numId w:val="2"/>
        </w:numPr>
        <w:spacing w:after="60" w:line="300"/>
      </w:pPr>
      <w:r>
        <w:rPr>
          <w:rFonts w:ascii="Calibri" w:cs="Calibri" w:eastAsia="Calibri" w:hAnsi="Calibri"/>
          <w:sz w:val="23"/>
          <w:szCs w:val="23"/>
        </w:rPr>
        <w:t xml:space="preserve">Receivables — external confirmation with debtors, review of after-date cash receipts, ageing analysis for bad debt provision.</w:t>
      </w:r>
    </w:p>
    <w:p>
      <w:pPr>
        <w:pStyle w:val="ListParagraph"/>
        <w:numPr>
          <w:ilvl w:val="0"/>
          <w:numId w:val="2"/>
        </w:numPr>
        <w:bidi/>
        <w:spacing w:after="170" w:line="320"/>
        <w:jc w:val="right"/>
      </w:pPr>
      <w:r>
        <w:rPr>
          <w:rFonts w:ascii="Arial" w:cs="Arial" w:eastAsia="Arial" w:hAnsi="Arial"/>
          <w:color w:val="5B6472"/>
          <w:sz w:val="24"/>
          <w:szCs w:val="24"/>
        </w:rPr>
        <w:t xml:space="preserve">الذمم المدينة — المصادقة الخارجية مع المدينين، مراجعة المقبوضات النقدية اللاحقة لتاريخ الميزانية، تحليل التقادم لتقدير مخصص الديون المشكوك فيها.</w:t>
      </w:r>
    </w:p>
    <w:p>
      <w:pPr>
        <w:pStyle w:val="ListParagraph"/>
        <w:numPr>
          <w:ilvl w:val="0"/>
          <w:numId w:val="2"/>
        </w:numPr>
        <w:spacing w:after="60" w:line="300"/>
      </w:pPr>
      <w:r>
        <w:rPr>
          <w:rFonts w:ascii="Calibri" w:cs="Calibri" w:eastAsia="Calibri" w:hAnsi="Calibri"/>
          <w:sz w:val="23"/>
          <w:szCs w:val="23"/>
        </w:rPr>
        <w:t xml:space="preserve">Inventory — attendance at physical count, cut-off testing, valuation at lower of cost and net realisable value (NRV).</w:t>
      </w:r>
    </w:p>
    <w:p>
      <w:pPr>
        <w:pStyle w:val="ListParagraph"/>
        <w:numPr>
          <w:ilvl w:val="0"/>
          <w:numId w:val="2"/>
        </w:numPr>
        <w:bidi/>
        <w:spacing w:after="170" w:line="320"/>
        <w:jc w:val="right"/>
      </w:pPr>
      <w:r>
        <w:rPr>
          <w:rFonts w:ascii="Arial" w:cs="Arial" w:eastAsia="Arial" w:hAnsi="Arial"/>
          <w:color w:val="5B6472"/>
          <w:sz w:val="24"/>
          <w:szCs w:val="24"/>
        </w:rPr>
        <w:t xml:space="preserve">المخزون — حضور الجرد الفعلي، اختبار الفصل الزمني (Cut-off)، التقييم بأقل من التكلفة وصافي القيمة القابلة للتحقق.</w:t>
      </w:r>
    </w:p>
    <w:p>
      <w:pPr>
        <w:pStyle w:val="ListParagraph"/>
        <w:numPr>
          <w:ilvl w:val="0"/>
          <w:numId w:val="2"/>
        </w:numPr>
        <w:spacing w:after="60" w:line="300"/>
      </w:pPr>
      <w:r>
        <w:rPr>
          <w:rFonts w:ascii="Calibri" w:cs="Calibri" w:eastAsia="Calibri" w:hAnsi="Calibri"/>
          <w:sz w:val="23"/>
          <w:szCs w:val="23"/>
        </w:rPr>
        <w:t xml:space="preserve">Payables and accruals — search for unrecorded liabilities, supplier statement reconciliations.</w:t>
      </w:r>
    </w:p>
    <w:p>
      <w:pPr>
        <w:pStyle w:val="ListParagraph"/>
        <w:numPr>
          <w:ilvl w:val="0"/>
          <w:numId w:val="2"/>
        </w:numPr>
        <w:bidi/>
        <w:spacing w:after="170" w:line="320"/>
        <w:jc w:val="right"/>
      </w:pPr>
      <w:r>
        <w:rPr>
          <w:rFonts w:ascii="Arial" w:cs="Arial" w:eastAsia="Arial" w:hAnsi="Arial"/>
          <w:color w:val="5B6472"/>
          <w:sz w:val="24"/>
          <w:szCs w:val="24"/>
        </w:rPr>
        <w:t xml:space="preserve">الذمم الدائنة والمستحقات — البحث عن التزامات غير مسجلة، تسوية كشوفات الموردين.</w:t>
      </w:r>
    </w:p>
    <w:p>
      <w:pPr>
        <w:pStyle w:val="ListParagraph"/>
        <w:numPr>
          <w:ilvl w:val="0"/>
          <w:numId w:val="2"/>
        </w:numPr>
        <w:spacing w:after="60" w:line="300"/>
      </w:pPr>
      <w:r>
        <w:rPr>
          <w:rFonts w:ascii="Calibri" w:cs="Calibri" w:eastAsia="Calibri" w:hAnsi="Calibri"/>
          <w:sz w:val="23"/>
          <w:szCs w:val="23"/>
        </w:rPr>
        <w:t xml:space="preserve">Non-current assets — verify existence/ownership, review depreciation policy and useful lives, check for impairment indicators.</w:t>
      </w:r>
    </w:p>
    <w:p>
      <w:pPr>
        <w:pStyle w:val="ListParagraph"/>
        <w:numPr>
          <w:ilvl w:val="0"/>
          <w:numId w:val="2"/>
        </w:numPr>
        <w:bidi/>
        <w:spacing w:after="170" w:line="320"/>
        <w:jc w:val="right"/>
      </w:pPr>
      <w:r>
        <w:rPr>
          <w:rFonts w:ascii="Arial" w:cs="Arial" w:eastAsia="Arial" w:hAnsi="Arial"/>
          <w:color w:val="5B6472"/>
          <w:sz w:val="24"/>
          <w:szCs w:val="24"/>
        </w:rPr>
        <w:t xml:space="preserve">الأصول غير المتداولة — التحقق من الوجود والملكية، مراجعة سياسة الإهلاك والأعمار الإنتاجية، فحص مؤشرات انخفاض القيمة.</w:t>
      </w:r>
    </w:p>
    <w:p>
      <w:pPr>
        <w:pStyle w:val="ListParagraph"/>
        <w:numPr>
          <w:ilvl w:val="0"/>
          <w:numId w:val="2"/>
        </w:numPr>
        <w:spacing w:after="60" w:line="300"/>
      </w:pPr>
      <w:r>
        <w:rPr>
          <w:rFonts w:ascii="Calibri" w:cs="Calibri" w:eastAsia="Calibri" w:hAnsi="Calibri"/>
          <w:sz w:val="23"/>
          <w:szCs w:val="23"/>
        </w:rPr>
        <w:t xml:space="preserve">Revenue — cut-off testing, agree to contracts, assess whether recognition complies with the 5-step model of IFRS 15.</w:t>
      </w:r>
    </w:p>
    <w:p>
      <w:pPr>
        <w:pStyle w:val="ListParagraph"/>
        <w:numPr>
          <w:ilvl w:val="0"/>
          <w:numId w:val="2"/>
        </w:numPr>
        <w:bidi/>
        <w:spacing w:after="170" w:line="320"/>
        <w:jc w:val="right"/>
      </w:pPr>
      <w:r>
        <w:rPr>
          <w:rFonts w:ascii="Arial" w:cs="Arial" w:eastAsia="Arial" w:hAnsi="Arial"/>
          <w:color w:val="5B6472"/>
          <w:sz w:val="24"/>
          <w:szCs w:val="24"/>
        </w:rPr>
        <w:t xml:space="preserve">الإيرادات — اختبار الفصل الزمني، المطابقة مع العقود، وتقييم امتثال الاعتراف بالإيراد لنموذج الخطوات الخمس بموجب المعيار الدولي IFRS 15.</w:t>
      </w:r>
    </w:p>
    <w:p>
      <w:pPr>
        <w:pStyle w:val="ListParagraph"/>
        <w:numPr>
          <w:ilvl w:val="0"/>
          <w:numId w:val="2"/>
        </w:numPr>
        <w:spacing w:after="60" w:line="300"/>
      </w:pPr>
      <w:r>
        <w:rPr>
          <w:rFonts w:ascii="Calibri" w:cs="Calibri" w:eastAsia="Calibri" w:hAnsi="Calibri"/>
          <w:sz w:val="23"/>
          <w:szCs w:val="23"/>
        </w:rPr>
        <w:t xml:space="preserve">Bank and cash — bank confirmation letters, bank reconciliation review.</w:t>
      </w:r>
    </w:p>
    <w:p>
      <w:pPr>
        <w:pStyle w:val="ListParagraph"/>
        <w:numPr>
          <w:ilvl w:val="0"/>
          <w:numId w:val="2"/>
        </w:numPr>
        <w:bidi/>
        <w:spacing w:after="170" w:line="320"/>
        <w:jc w:val="right"/>
      </w:pPr>
      <w:r>
        <w:rPr>
          <w:rFonts w:ascii="Arial" w:cs="Arial" w:eastAsia="Arial" w:hAnsi="Arial"/>
          <w:color w:val="5B6472"/>
          <w:sz w:val="24"/>
          <w:szCs w:val="24"/>
        </w:rPr>
        <w:t xml:space="preserve">البنك والنقدية — خطابات مصادقة البنك، مراجعة تسوية الحساب البنكي.</w:t>
      </w:r>
    </w:p>
    <w:p>
      <w:pPr>
        <w:pStyle w:val="ListParagraph"/>
        <w:numPr>
          <w:ilvl w:val="0"/>
          <w:numId w:val="2"/>
        </w:numPr>
        <w:spacing w:after="60" w:line="300"/>
      </w:pPr>
      <w:r>
        <w:rPr>
          <w:rFonts w:ascii="Calibri" w:cs="Calibri" w:eastAsia="Calibri" w:hAnsi="Calibri"/>
          <w:sz w:val="23"/>
          <w:szCs w:val="23"/>
        </w:rPr>
        <w:t xml:space="preserve">Provisions and contingencies (IAS 37) — assess probability and reliability of estimate; provide if probable and measurable, disclose if only possible.</w:t>
      </w:r>
    </w:p>
    <w:p>
      <w:pPr>
        <w:pStyle w:val="ListParagraph"/>
        <w:numPr>
          <w:ilvl w:val="0"/>
          <w:numId w:val="2"/>
        </w:numPr>
        <w:bidi/>
        <w:spacing w:after="170" w:line="320"/>
        <w:jc w:val="right"/>
      </w:pPr>
      <w:r>
        <w:rPr>
          <w:rFonts w:ascii="Arial" w:cs="Arial" w:eastAsia="Arial" w:hAnsi="Arial"/>
          <w:color w:val="5B6472"/>
          <w:sz w:val="24"/>
          <w:szCs w:val="24"/>
        </w:rPr>
        <w:t xml:space="preserve">المخصصات والالتزامات المحتملة (IAS 37) — تقييم احتمالية الحدوث وموثوقية التقدير؛ يُكوَّن مخصص إذا كان الحدوث محتملاً وقابلاً للقياس، ويُفصح فقط إذا كان ممكناً.</w:t>
      </w:r>
    </w:p>
    <w:p>
      <w:pPr>
        <w:pStyle w:val="Heading2"/>
        <w:pBdr>
          <w:left w:val="single" w:color="1F3864" w:sz="24" w:space="8"/>
        </w:pBdr>
        <w:spacing w:after="40" w:before="340"/>
        <w:ind w:left="120"/>
      </w:pPr>
      <w:r>
        <w:rPr>
          <w:rFonts w:ascii="Cambria" w:cs="Cambria" w:eastAsia="Cambria" w:hAnsi="Cambria"/>
          <w:b/>
          <w:bCs/>
          <w:color w:val="1F3864"/>
        </w:rPr>
        <w:t xml:space="preserve">5. Other Key Areas</w:t>
      </w:r>
    </w:p>
    <w:p>
      <w:pPr>
        <w:bidi/>
        <w:spacing w:after="180"/>
        <w:jc w:val="right"/>
      </w:pPr>
      <w:r>
        <w:rPr>
          <w:rFonts w:ascii="Arial" w:cs="Arial" w:eastAsia="Arial" w:hAnsi="Arial"/>
          <w:b/>
          <w:bCs/>
          <w:color w:val="1F3864"/>
          <w:sz w:val="24"/>
          <w:szCs w:val="24"/>
        </w:rPr>
        <w:t xml:space="preserve">٥. مجالات مهمة أخرى</w:t>
      </w:r>
    </w:p>
    <w:p>
      <w:pPr>
        <w:pStyle w:val="ListParagraph"/>
        <w:numPr>
          <w:ilvl w:val="0"/>
          <w:numId w:val="2"/>
        </w:numPr>
        <w:spacing w:after="60" w:line="300"/>
      </w:pPr>
      <w:r>
        <w:rPr>
          <w:rFonts w:ascii="Calibri" w:cs="Calibri" w:eastAsia="Calibri" w:hAnsi="Calibri"/>
          <w:sz w:val="23"/>
          <w:szCs w:val="23"/>
        </w:rPr>
        <w:t xml:space="preserve">Going concern (ISA 570) — assess management's assessment of the entity's ability to continue for at least 12 months; look for indicators such as negative working capital, loan covenant breaches, loss of key customers.</w:t>
      </w:r>
    </w:p>
    <w:p>
      <w:pPr>
        <w:pStyle w:val="ListParagraph"/>
        <w:numPr>
          <w:ilvl w:val="0"/>
          <w:numId w:val="2"/>
        </w:numPr>
        <w:bidi/>
        <w:spacing w:after="170" w:line="320"/>
        <w:jc w:val="right"/>
      </w:pPr>
      <w:r>
        <w:rPr>
          <w:rFonts w:ascii="Arial" w:cs="Arial" w:eastAsia="Arial" w:hAnsi="Arial"/>
          <w:color w:val="5B6472"/>
          <w:sz w:val="24"/>
          <w:szCs w:val="24"/>
        </w:rPr>
        <w:t xml:space="preserve">الاستمرارية (ISA 570) — تقييم مدى قدرة المنشأة على الاستمرار لمدة ١٢ شهراً على الأقل؛ مع البحث عن مؤشرات مثل رأس المال العامل السالب، مخالفة شروط القروض، فقدان عملاء رئيسيين.</w:t>
      </w:r>
    </w:p>
    <w:p>
      <w:pPr>
        <w:pStyle w:val="ListParagraph"/>
        <w:numPr>
          <w:ilvl w:val="0"/>
          <w:numId w:val="2"/>
        </w:numPr>
        <w:spacing w:after="60" w:line="300"/>
      </w:pPr>
      <w:r>
        <w:rPr>
          <w:rFonts w:ascii="Calibri" w:cs="Calibri" w:eastAsia="Calibri" w:hAnsi="Calibri"/>
          <w:sz w:val="23"/>
          <w:szCs w:val="23"/>
        </w:rPr>
        <w:t xml:space="preserve">Subsequent events (ISA 560) — adjusting events (existed at year-end, e.g. resolution of a court case) vs non-adjusting events (arose after year-end, e.g. a fire, disclosed only if material).</w:t>
      </w:r>
    </w:p>
    <w:p>
      <w:pPr>
        <w:pStyle w:val="ListParagraph"/>
        <w:numPr>
          <w:ilvl w:val="0"/>
          <w:numId w:val="2"/>
        </w:numPr>
        <w:bidi/>
        <w:spacing w:after="170" w:line="320"/>
        <w:jc w:val="right"/>
      </w:pPr>
      <w:r>
        <w:rPr>
          <w:rFonts w:ascii="Arial" w:cs="Arial" w:eastAsia="Arial" w:hAnsi="Arial"/>
          <w:color w:val="5B6472"/>
          <w:sz w:val="24"/>
          <w:szCs w:val="24"/>
        </w:rPr>
        <w:t xml:space="preserve">الأحداث اللاحقة (ISA 560) — أحداث تعديلية (كانت قائمة في تاريخ الميزانية، كتسوية قضية محكمة) مقابل أحداث غير تعديلية (نشأت بعد تاريخ الميزانية، كحريق، ويُفصح عنها فقط إذا كانت جوهرية).</w:t>
      </w:r>
    </w:p>
    <w:p>
      <w:pPr>
        <w:pStyle w:val="ListParagraph"/>
        <w:numPr>
          <w:ilvl w:val="0"/>
          <w:numId w:val="2"/>
        </w:numPr>
        <w:spacing w:after="60" w:line="300"/>
      </w:pPr>
      <w:r>
        <w:rPr>
          <w:rFonts w:ascii="Calibri" w:cs="Calibri" w:eastAsia="Calibri" w:hAnsi="Calibri"/>
          <w:sz w:val="23"/>
          <w:szCs w:val="23"/>
        </w:rPr>
        <w:t xml:space="preserve">Written representations (ISA 580) — a form of audit evidence, but cannot replace other available evidence; management confirms responsibility for the financial statements and specific matters.</w:t>
      </w:r>
    </w:p>
    <w:p>
      <w:pPr>
        <w:pStyle w:val="ListParagraph"/>
        <w:numPr>
          <w:ilvl w:val="0"/>
          <w:numId w:val="2"/>
        </w:numPr>
        <w:bidi/>
        <w:spacing w:after="170" w:line="320"/>
        <w:jc w:val="right"/>
      </w:pPr>
      <w:r>
        <w:rPr>
          <w:rFonts w:ascii="Arial" w:cs="Arial" w:eastAsia="Arial" w:hAnsi="Arial"/>
          <w:color w:val="5B6472"/>
          <w:sz w:val="24"/>
          <w:szCs w:val="24"/>
        </w:rPr>
        <w:t xml:space="preserve">الإقرارات الكتابية (ISA 580) — تُعد شكلاً من أشكال أدلة التدقيق، لكنها لا تُغني عن أدلة أخرى متاحة؛ تؤكد الإدارة مسؤوليتها عن القوائم المالية وأمور محددة.</w:t>
      </w:r>
    </w:p>
    <w:p>
      <w:pPr>
        <w:pStyle w:val="ListParagraph"/>
        <w:numPr>
          <w:ilvl w:val="0"/>
          <w:numId w:val="2"/>
        </w:numPr>
        <w:spacing w:after="60" w:line="300"/>
      </w:pPr>
      <w:r>
        <w:rPr>
          <w:rFonts w:ascii="Calibri" w:cs="Calibri" w:eastAsia="Calibri" w:hAnsi="Calibri"/>
          <w:sz w:val="23"/>
          <w:szCs w:val="23"/>
        </w:rPr>
        <w:t xml:space="preserve">Related parties (ISA 550) — increased risk of undisclosed transactions and fraud; the auditor must remain alert throughout the audit.</w:t>
      </w:r>
    </w:p>
    <w:p>
      <w:pPr>
        <w:pStyle w:val="ListParagraph"/>
        <w:numPr>
          <w:ilvl w:val="0"/>
          <w:numId w:val="2"/>
        </w:numPr>
        <w:bidi/>
        <w:spacing w:after="170" w:line="320"/>
        <w:jc w:val="right"/>
      </w:pPr>
      <w:r>
        <w:rPr>
          <w:rFonts w:ascii="Arial" w:cs="Arial" w:eastAsia="Arial" w:hAnsi="Arial"/>
          <w:color w:val="5B6472"/>
          <w:sz w:val="24"/>
          <w:szCs w:val="24"/>
        </w:rPr>
        <w:t xml:space="preserve">الأطراف ذات العلاقة (ISA 550) — مخاطر أعلى لوجود معاملات غير مفصح عنها أو احتيال؛ يجب أن يبقى المدقق متيقظاً طوال التدقيق.</w:t>
      </w:r>
    </w:p>
    <w:p>
      <w:pPr>
        <w:pStyle w:val="ListParagraph"/>
        <w:numPr>
          <w:ilvl w:val="0"/>
          <w:numId w:val="2"/>
        </w:numPr>
        <w:spacing w:after="60" w:line="300"/>
      </w:pPr>
      <w:r>
        <w:rPr>
          <w:rFonts w:ascii="Calibri" w:cs="Calibri" w:eastAsia="Calibri" w:hAnsi="Calibri"/>
          <w:sz w:val="23"/>
          <w:szCs w:val="23"/>
        </w:rPr>
        <w:t xml:space="preserve">Using the work of others — internal audit (ISA 610), auditor's experts (ISA 620), service organisations (ISA 402) — the external auditor retains sole responsibility for the opinion.</w:t>
      </w:r>
    </w:p>
    <w:p>
      <w:pPr>
        <w:pStyle w:val="ListParagraph"/>
        <w:numPr>
          <w:ilvl w:val="0"/>
          <w:numId w:val="2"/>
        </w:numPr>
        <w:bidi/>
        <w:spacing w:after="170" w:line="320"/>
        <w:jc w:val="right"/>
      </w:pPr>
      <w:r>
        <w:rPr>
          <w:rFonts w:ascii="Arial" w:cs="Arial" w:eastAsia="Arial" w:hAnsi="Arial"/>
          <w:color w:val="5B6472"/>
          <w:sz w:val="24"/>
          <w:szCs w:val="24"/>
        </w:rPr>
        <w:t xml:space="preserve">الاستعانة بعمل الآخرين — التدقيق الداخلي (ISA 610)، خبراء المدقق (ISA 620)، مؤسسات الخدمات (ISA 402) — يبقى المدقق الخارجي وحده المسؤول عن الرأي النهائي.</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E: Review and Reporting</w:t>
      </w:r>
    </w:p>
    <w:p>
      <w:pPr>
        <w:bidi/>
        <w:spacing w:after="180"/>
        <w:jc w:val="right"/>
      </w:pPr>
      <w:r>
        <w:rPr>
          <w:rFonts w:ascii="Arial" w:cs="Arial" w:eastAsia="Arial" w:hAnsi="Arial"/>
          <w:b/>
          <w:bCs/>
          <w:color w:val="1F3864"/>
          <w:sz w:val="24"/>
          <w:szCs w:val="24"/>
        </w:rPr>
        <w:t xml:space="preserve">القسم هـ: المراجعة النهائية وإعداد التقرير</w:t>
      </w:r>
    </w:p>
    <w:p>
      <w:pPr>
        <w:pStyle w:val="Heading2"/>
        <w:pBdr>
          <w:left w:val="single" w:color="1F3864" w:sz="24" w:space="8"/>
        </w:pBdr>
        <w:spacing w:after="40" w:before="340"/>
        <w:ind w:left="120"/>
      </w:pPr>
      <w:r>
        <w:rPr>
          <w:rFonts w:ascii="Cambria" w:cs="Cambria" w:eastAsia="Cambria" w:hAnsi="Cambria"/>
          <w:b/>
          <w:bCs/>
          <w:color w:val="1F3864"/>
        </w:rPr>
        <w:t xml:space="preserve">1. Completion Procedures</w:t>
      </w:r>
    </w:p>
    <w:p>
      <w:pPr>
        <w:bidi/>
        <w:spacing w:after="180"/>
        <w:jc w:val="right"/>
      </w:pPr>
      <w:r>
        <w:rPr>
          <w:rFonts w:ascii="Arial" w:cs="Arial" w:eastAsia="Arial" w:hAnsi="Arial"/>
          <w:b/>
          <w:bCs/>
          <w:color w:val="1F3864"/>
          <w:sz w:val="24"/>
          <w:szCs w:val="24"/>
        </w:rPr>
        <w:t xml:space="preserve">١. إجراءات إنهاء التدقيق</w:t>
      </w:r>
    </w:p>
    <w:p>
      <w:pPr>
        <w:pStyle w:val="ListParagraph"/>
        <w:numPr>
          <w:ilvl w:val="0"/>
          <w:numId w:val="2"/>
        </w:numPr>
        <w:spacing w:after="60" w:line="300"/>
      </w:pPr>
      <w:r>
        <w:rPr>
          <w:rFonts w:ascii="Calibri" w:cs="Calibri" w:eastAsia="Calibri" w:hAnsi="Calibri"/>
          <w:sz w:val="23"/>
          <w:szCs w:val="23"/>
        </w:rPr>
        <w:t xml:space="preserve">Final analytical review of the financial statements as a whole.</w:t>
      </w:r>
    </w:p>
    <w:p>
      <w:pPr>
        <w:pStyle w:val="ListParagraph"/>
        <w:numPr>
          <w:ilvl w:val="0"/>
          <w:numId w:val="2"/>
        </w:numPr>
        <w:bidi/>
        <w:spacing w:after="170" w:line="320"/>
        <w:jc w:val="right"/>
      </w:pPr>
      <w:r>
        <w:rPr>
          <w:rFonts w:ascii="Arial" w:cs="Arial" w:eastAsia="Arial" w:hAnsi="Arial"/>
          <w:color w:val="5B6472"/>
          <w:sz w:val="24"/>
          <w:szCs w:val="24"/>
        </w:rPr>
        <w:t xml:space="preserve">مراجعة تحليلية نهائية للقوائم المالية ككل.</w:t>
      </w:r>
    </w:p>
    <w:p>
      <w:pPr>
        <w:pStyle w:val="ListParagraph"/>
        <w:numPr>
          <w:ilvl w:val="0"/>
          <w:numId w:val="2"/>
        </w:numPr>
        <w:spacing w:after="60" w:line="300"/>
      </w:pPr>
      <w:r>
        <w:rPr>
          <w:rFonts w:ascii="Calibri" w:cs="Calibri" w:eastAsia="Calibri" w:hAnsi="Calibri"/>
          <w:sz w:val="23"/>
          <w:szCs w:val="23"/>
        </w:rPr>
        <w:t xml:space="preserve">Evaluation of uncorrected misstatements against materiality.</w:t>
      </w:r>
    </w:p>
    <w:p>
      <w:pPr>
        <w:pStyle w:val="ListParagraph"/>
        <w:numPr>
          <w:ilvl w:val="0"/>
          <w:numId w:val="2"/>
        </w:numPr>
        <w:bidi/>
        <w:spacing w:after="170" w:line="320"/>
        <w:jc w:val="right"/>
      </w:pPr>
      <w:r>
        <w:rPr>
          <w:rFonts w:ascii="Arial" w:cs="Arial" w:eastAsia="Arial" w:hAnsi="Arial"/>
          <w:color w:val="5B6472"/>
          <w:sz w:val="24"/>
          <w:szCs w:val="24"/>
        </w:rPr>
        <w:t xml:space="preserve">تقييم التحريفات غير المصححة مقارنة بالأهمية النسبية.</w:t>
      </w:r>
    </w:p>
    <w:p>
      <w:pPr>
        <w:pStyle w:val="ListParagraph"/>
        <w:numPr>
          <w:ilvl w:val="0"/>
          <w:numId w:val="2"/>
        </w:numPr>
        <w:spacing w:after="60" w:line="300"/>
      </w:pPr>
      <w:r>
        <w:rPr>
          <w:rFonts w:ascii="Calibri" w:cs="Calibri" w:eastAsia="Calibri" w:hAnsi="Calibri"/>
          <w:sz w:val="23"/>
          <w:szCs w:val="23"/>
        </w:rPr>
        <w:t xml:space="preserve">Overall conclusion on whether sufficient appropriate evidence has been obtained.</w:t>
      </w:r>
    </w:p>
    <w:p>
      <w:pPr>
        <w:pStyle w:val="ListParagraph"/>
        <w:numPr>
          <w:ilvl w:val="0"/>
          <w:numId w:val="2"/>
        </w:numPr>
        <w:bidi/>
        <w:spacing w:after="170" w:line="320"/>
        <w:jc w:val="right"/>
      </w:pPr>
      <w:r>
        <w:rPr>
          <w:rFonts w:ascii="Arial" w:cs="Arial" w:eastAsia="Arial" w:hAnsi="Arial"/>
          <w:color w:val="5B6472"/>
          <w:sz w:val="24"/>
          <w:szCs w:val="24"/>
        </w:rPr>
        <w:t xml:space="preserve">استنتاج شامل حول ما إذا تم الحصول على أدلة كافية وملائمة.</w:t>
      </w:r>
    </w:p>
    <w:p>
      <w:pPr>
        <w:pStyle w:val="Heading2"/>
        <w:pBdr>
          <w:left w:val="single" w:color="1F3864" w:sz="24" w:space="8"/>
        </w:pBdr>
        <w:spacing w:after="40" w:before="340"/>
        <w:ind w:left="120"/>
      </w:pPr>
      <w:r>
        <w:rPr>
          <w:rFonts w:ascii="Cambria" w:cs="Cambria" w:eastAsia="Cambria" w:hAnsi="Cambria"/>
          <w:b/>
          <w:bCs/>
          <w:color w:val="1F3864"/>
        </w:rPr>
        <w:t xml:space="preserve">2. The Independent Auditor's Report</w:t>
      </w:r>
    </w:p>
    <w:p>
      <w:pPr>
        <w:bidi/>
        <w:spacing w:after="180"/>
        <w:jc w:val="right"/>
      </w:pPr>
      <w:r>
        <w:rPr>
          <w:rFonts w:ascii="Arial" w:cs="Arial" w:eastAsia="Arial" w:hAnsi="Arial"/>
          <w:b/>
          <w:bCs/>
          <w:color w:val="1F3864"/>
          <w:sz w:val="24"/>
          <w:szCs w:val="24"/>
        </w:rPr>
        <w:t xml:space="preserve">٢. تقرير المدقق المستقل</w:t>
      </w:r>
    </w:p>
    <w:p>
      <w:pPr>
        <w:pStyle w:val="ListParagraph"/>
        <w:numPr>
          <w:ilvl w:val="0"/>
          <w:numId w:val="2"/>
        </w:numPr>
        <w:spacing w:after="60" w:line="300"/>
      </w:pPr>
      <w:r>
        <w:rPr>
          <w:rFonts w:ascii="Calibri" w:cs="Calibri" w:eastAsia="Calibri" w:hAnsi="Calibri"/>
          <w:sz w:val="23"/>
          <w:szCs w:val="23"/>
        </w:rPr>
        <w:t xml:space="preserve">Unmodified (clean) opinion — financial statements give a true and fair view, no material issues.</w:t>
      </w:r>
    </w:p>
    <w:p>
      <w:pPr>
        <w:pStyle w:val="ListParagraph"/>
        <w:numPr>
          <w:ilvl w:val="0"/>
          <w:numId w:val="2"/>
        </w:numPr>
        <w:bidi/>
        <w:spacing w:after="170" w:line="320"/>
        <w:jc w:val="right"/>
      </w:pPr>
      <w:r>
        <w:rPr>
          <w:rFonts w:ascii="Arial" w:cs="Arial" w:eastAsia="Arial" w:hAnsi="Arial"/>
          <w:color w:val="5B6472"/>
          <w:sz w:val="24"/>
          <w:szCs w:val="24"/>
        </w:rPr>
        <w:t xml:space="preserve">رأي غير معدَّل (نظيف) — القوائم المالية تعبّر بصدق وعدالة، ولا توجد مشكلات جوهرية.</w:t>
      </w:r>
    </w:p>
    <w:p>
      <w:pPr>
        <w:pStyle w:val="ListParagraph"/>
        <w:numPr>
          <w:ilvl w:val="0"/>
          <w:numId w:val="2"/>
        </w:numPr>
        <w:spacing w:after="60" w:line="300"/>
      </w:pPr>
      <w:r>
        <w:rPr>
          <w:rFonts w:ascii="Calibri" w:cs="Calibri" w:eastAsia="Calibri" w:hAnsi="Calibri"/>
          <w:sz w:val="23"/>
          <w:szCs w:val="23"/>
        </w:rPr>
        <w:t xml:space="preserve">Qualified opinion — "except for" a specific material (but not pervasive) misstatement or scope limitation.</w:t>
      </w:r>
    </w:p>
    <w:p>
      <w:pPr>
        <w:pStyle w:val="ListParagraph"/>
        <w:numPr>
          <w:ilvl w:val="0"/>
          <w:numId w:val="2"/>
        </w:numPr>
        <w:bidi/>
        <w:spacing w:after="170" w:line="320"/>
        <w:jc w:val="right"/>
      </w:pPr>
      <w:r>
        <w:rPr>
          <w:rFonts w:ascii="Arial" w:cs="Arial" w:eastAsia="Arial" w:hAnsi="Arial"/>
          <w:color w:val="5B6472"/>
          <w:sz w:val="24"/>
          <w:szCs w:val="24"/>
        </w:rPr>
        <w:t xml:space="preserve">رأي متحفظ (Qualified) — "باستثناء" تحريف جوهري محدد (لكنه غير منتشر) أو قيد على نطاق التدقيق.</w:t>
      </w:r>
    </w:p>
    <w:p>
      <w:pPr>
        <w:pStyle w:val="ListParagraph"/>
        <w:numPr>
          <w:ilvl w:val="0"/>
          <w:numId w:val="2"/>
        </w:numPr>
        <w:spacing w:after="60" w:line="300"/>
      </w:pPr>
      <w:r>
        <w:rPr>
          <w:rFonts w:ascii="Calibri" w:cs="Calibri" w:eastAsia="Calibri" w:hAnsi="Calibri"/>
          <w:sz w:val="23"/>
          <w:szCs w:val="23"/>
        </w:rPr>
        <w:t xml:space="preserve">Adverse opinion — the financial statements are materially and pervasively misstated.</w:t>
      </w:r>
    </w:p>
    <w:p>
      <w:pPr>
        <w:pStyle w:val="ListParagraph"/>
        <w:numPr>
          <w:ilvl w:val="0"/>
          <w:numId w:val="2"/>
        </w:numPr>
        <w:bidi/>
        <w:spacing w:after="170" w:line="320"/>
        <w:jc w:val="right"/>
      </w:pPr>
      <w:r>
        <w:rPr>
          <w:rFonts w:ascii="Arial" w:cs="Arial" w:eastAsia="Arial" w:hAnsi="Arial"/>
          <w:color w:val="5B6472"/>
          <w:sz w:val="24"/>
          <w:szCs w:val="24"/>
        </w:rPr>
        <w:t xml:space="preserve">رأي معاكس (Adverse) — القوائم المالية محرَّفة بشكل جوهري ومنتشر.</w:t>
      </w:r>
    </w:p>
    <w:p>
      <w:pPr>
        <w:pStyle w:val="ListParagraph"/>
        <w:numPr>
          <w:ilvl w:val="0"/>
          <w:numId w:val="2"/>
        </w:numPr>
        <w:spacing w:after="60" w:line="300"/>
      </w:pPr>
      <w:r>
        <w:rPr>
          <w:rFonts w:ascii="Calibri" w:cs="Calibri" w:eastAsia="Calibri" w:hAnsi="Calibri"/>
          <w:sz w:val="23"/>
          <w:szCs w:val="23"/>
        </w:rPr>
        <w:t xml:space="preserve">Disclaimer of opinion — the auditor cannot obtain sufficient appropriate evidence, and the possible effects are material and pervasive.</w:t>
      </w:r>
    </w:p>
    <w:p>
      <w:pPr>
        <w:pStyle w:val="ListParagraph"/>
        <w:numPr>
          <w:ilvl w:val="0"/>
          <w:numId w:val="2"/>
        </w:numPr>
        <w:bidi/>
        <w:spacing w:after="170" w:line="320"/>
        <w:jc w:val="right"/>
      </w:pPr>
      <w:r>
        <w:rPr>
          <w:rFonts w:ascii="Arial" w:cs="Arial" w:eastAsia="Arial" w:hAnsi="Arial"/>
          <w:color w:val="5B6472"/>
          <w:sz w:val="24"/>
          <w:szCs w:val="24"/>
        </w:rPr>
        <w:t xml:space="preserve">الامتناع عن إبداء الرأي (Disclaimer) — عجز المدقق عن الحصول على أدلة كافية وملائمة، والآثار المحتملة جوهرية ومنتشرة.</w:t>
      </w:r>
    </w:p>
    <w:p>
      <w:pPr>
        <w:pStyle w:val="Heading2"/>
        <w:pBdr>
          <w:left w:val="single" w:color="1F3864" w:sz="24" w:space="8"/>
        </w:pBdr>
        <w:spacing w:after="40" w:before="340"/>
        <w:ind w:left="120"/>
      </w:pPr>
      <w:r>
        <w:rPr>
          <w:rFonts w:ascii="Cambria" w:cs="Cambria" w:eastAsia="Cambria" w:hAnsi="Cambria"/>
          <w:b/>
          <w:bCs/>
          <w:color w:val="1F3864"/>
        </w:rPr>
        <w:t xml:space="preserve">3. Emphasis of Matter, Other Matter and Key Audit Matters</w:t>
      </w:r>
    </w:p>
    <w:p>
      <w:pPr>
        <w:bidi/>
        <w:spacing w:after="180"/>
        <w:jc w:val="right"/>
      </w:pPr>
      <w:r>
        <w:rPr>
          <w:rFonts w:ascii="Arial" w:cs="Arial" w:eastAsia="Arial" w:hAnsi="Arial"/>
          <w:b/>
          <w:bCs/>
          <w:color w:val="1F3864"/>
          <w:sz w:val="24"/>
          <w:szCs w:val="24"/>
        </w:rPr>
        <w:t xml:space="preserve">٣. فقرات لفت الانتباه والأمور الأخرى والأمور الرئيسية للتدقيق</w:t>
      </w:r>
    </w:p>
    <w:p>
      <w:pPr>
        <w:pStyle w:val="ListParagraph"/>
        <w:numPr>
          <w:ilvl w:val="0"/>
          <w:numId w:val="2"/>
        </w:numPr>
        <w:spacing w:after="60" w:line="300"/>
      </w:pPr>
      <w:r>
        <w:rPr>
          <w:rFonts w:ascii="Calibri" w:cs="Calibri" w:eastAsia="Calibri" w:hAnsi="Calibri"/>
          <w:sz w:val="23"/>
          <w:szCs w:val="23"/>
        </w:rPr>
        <w:t xml:space="preserve">Emphasis of Matter (EOM) — draws attention to a matter correctly presented/disclosed that is fundamental to users' understanding (e.g. major uncertainty); does not modify the opinion.</w:t>
      </w:r>
    </w:p>
    <w:p>
      <w:pPr>
        <w:pStyle w:val="ListParagraph"/>
        <w:numPr>
          <w:ilvl w:val="0"/>
          <w:numId w:val="2"/>
        </w:numPr>
        <w:bidi/>
        <w:spacing w:after="170" w:line="320"/>
        <w:jc w:val="right"/>
      </w:pPr>
      <w:r>
        <w:rPr>
          <w:rFonts w:ascii="Arial" w:cs="Arial" w:eastAsia="Arial" w:hAnsi="Arial"/>
          <w:color w:val="5B6472"/>
          <w:sz w:val="24"/>
          <w:szCs w:val="24"/>
        </w:rPr>
        <w:t xml:space="preserve">فقرة لفت الانتباه (EOM) — تُلفت الانتباه لأمر معروض ومفصح عنه بشكل صحيح لكنه أساسي لفهم المستخدمين (كعدم يقين جوهري)؛ ولا تُعدّل الرأي.</w:t>
      </w:r>
    </w:p>
    <w:p>
      <w:pPr>
        <w:pStyle w:val="ListParagraph"/>
        <w:numPr>
          <w:ilvl w:val="0"/>
          <w:numId w:val="2"/>
        </w:numPr>
        <w:spacing w:after="60" w:line="300"/>
      </w:pPr>
      <w:r>
        <w:rPr>
          <w:rFonts w:ascii="Calibri" w:cs="Calibri" w:eastAsia="Calibri" w:hAnsi="Calibri"/>
          <w:sz w:val="23"/>
          <w:szCs w:val="23"/>
        </w:rPr>
        <w:t xml:space="preserve">Other Matter — refers to a matter not presented/disclosed in the financial statements but relevant to users' understanding of the audit.</w:t>
      </w:r>
    </w:p>
    <w:p>
      <w:pPr>
        <w:pStyle w:val="ListParagraph"/>
        <w:numPr>
          <w:ilvl w:val="0"/>
          <w:numId w:val="2"/>
        </w:numPr>
        <w:bidi/>
        <w:spacing w:after="170" w:line="320"/>
        <w:jc w:val="right"/>
      </w:pPr>
      <w:r>
        <w:rPr>
          <w:rFonts w:ascii="Arial" w:cs="Arial" w:eastAsia="Arial" w:hAnsi="Arial"/>
          <w:color w:val="5B6472"/>
          <w:sz w:val="24"/>
          <w:szCs w:val="24"/>
        </w:rPr>
        <w:t xml:space="preserve">فقرة الأمور الأخرى — تشير إلى أمر غير معروض في القوائم المالية لكنه ذو صلة بفهم المستخدمين لعملية التدقيق.</w:t>
      </w:r>
    </w:p>
    <w:p>
      <w:pPr>
        <w:pStyle w:val="ListParagraph"/>
        <w:numPr>
          <w:ilvl w:val="0"/>
          <w:numId w:val="2"/>
        </w:numPr>
        <w:spacing w:after="60" w:line="300"/>
      </w:pPr>
      <w:r>
        <w:rPr>
          <w:rFonts w:ascii="Calibri" w:cs="Calibri" w:eastAsia="Calibri" w:hAnsi="Calibri"/>
          <w:sz w:val="23"/>
          <w:szCs w:val="23"/>
        </w:rPr>
        <w:t xml:space="preserve">Key Audit Matters (KAM) — required for listed entities; matters of most significance in the audit, communicated in a separate report section.</w:t>
      </w:r>
    </w:p>
    <w:p>
      <w:pPr>
        <w:pStyle w:val="ListParagraph"/>
        <w:numPr>
          <w:ilvl w:val="0"/>
          <w:numId w:val="2"/>
        </w:numPr>
        <w:bidi/>
        <w:spacing w:after="170" w:line="320"/>
        <w:jc w:val="right"/>
      </w:pPr>
      <w:r>
        <w:rPr>
          <w:rFonts w:ascii="Arial" w:cs="Arial" w:eastAsia="Arial" w:hAnsi="Arial"/>
          <w:color w:val="5B6472"/>
          <w:sz w:val="24"/>
          <w:szCs w:val="24"/>
        </w:rPr>
        <w:t xml:space="preserve">الأمور الرئيسية للتدقيق (KAM) — مطلوبة للشركات المدرجة؛ وهي الأمور الأكثر أهمية في التدقيق، وتُذكَر في قسم منفصل من التقرير.</w:t>
      </w:r>
    </w:p>
    <w:p>
      <w:r>
        <w:br w:type="page"/>
      </w:r>
    </w:p>
    <w:p>
      <w:r>
        <w:br w:type="page"/>
      </w:r>
    </w:p>
    <w:tbl>
      <w:tblPr>
        <w:tblW w:type="pct" w:w="100%"/>
        <w:tblBorders>
          <w:top w:val="none" w:color="14213D" w:sz="0"/>
          <w:left w:val="none" w:color="14213D" w:sz="0"/>
          <w:bottom w:val="none" w:color="14213D" w:sz="0"/>
          <w:right w:val="none" w:color="14213D" w:sz="0"/>
          <w:insideH w:val="none" w:color="14213D" w:sz="0"/>
          <w:insideV w:val="none" w:color="14213D" w:sz="0"/>
        </w:tblBorders>
        <w:tblLayout w:type="fixed"/>
      </w:tblPr>
      <w:tblGrid>
        <w:gridCol w:w="100"/>
      </w:tblGrid>
      <w:tr>
        <w:tc>
          <w:tcPr>
            <w:tcW w:type="pct" w:w="100%"/>
            <w:shd w:fill="14213D" w:val="clear"/>
            <w:tcMar>
              <w:top w:type="dxa" w:w="200"/>
              <w:left w:type="dxa" w:w="300"/>
              <w:bottom w:type="dxa" w:w="200"/>
              <w:right w:type="dxa" w:w="300"/>
            </w:tcMar>
            <w:vAlign w:val="center"/>
          </w:tcPr>
          <w:p>
            <w:pPr>
              <w:spacing w:before="80"/>
              <w:jc w:val="center"/>
            </w:pPr>
            <w:r>
              <w:rPr>
                <w:rFonts w:ascii="Cambria" w:cs="Cambria" w:eastAsia="Cambria" w:hAnsi="Cambria"/>
                <w:b/>
                <w:bCs/>
                <w:color w:val="FFFFFF"/>
                <w:sz w:val="30"/>
                <w:szCs w:val="30"/>
              </w:rPr>
              <w:t xml:space="preserve">✎  AA — Mock Exam (Applied Skills Level)</w:t>
            </w:r>
          </w:p>
          <w:p>
            <w:pPr>
              <w:bidi/>
              <w:spacing w:after="80" w:before="60"/>
              <w:jc w:val="center"/>
            </w:pPr>
            <w:r>
              <w:rPr>
                <w:rFonts w:ascii="Arial" w:cs="Arial" w:eastAsia="Arial" w:hAnsi="Arial"/>
                <w:b/>
                <w:bCs/>
                <w:color w:val="FFFFFF"/>
                <w:sz w:val="26"/>
                <w:szCs w:val="26"/>
              </w:rPr>
              <w:t xml:space="preserve">امتحان تجريبي — مادة AA (مستوى Applied Skills)</w:t>
            </w:r>
          </w:p>
        </w:tc>
      </w:tr>
    </w:tbl>
    <w:p>
      <w:pPr>
        <w:spacing w:before="200"/>
      </w:pPr>
    </w:p>
    <w:p>
      <w:pPr>
        <w:spacing w:after="160" w:line="300"/>
      </w:pPr>
      <w:r>
        <w:rPr>
          <w:rFonts w:ascii="Calibri" w:cs="Calibri" w:eastAsia="Calibri" w:hAnsi="Calibri"/>
          <w:sz w:val="25"/>
          <w:szCs w:val="25"/>
        </w:rPr>
        <w:t xml:space="preserve">15 multiple-choice questions. Recommended time: 30 minutes. Answers and explanations follow the question set.</w:t>
      </w:r>
    </w:p>
    <w:p>
      <w:pPr>
        <w:bidi/>
        <w:spacing w:after="260" w:line="340"/>
        <w:jc w:val="right"/>
      </w:pPr>
      <w:r>
        <w:rPr>
          <w:rFonts w:ascii="Arial" w:cs="Arial" w:eastAsia="Arial" w:hAnsi="Arial"/>
          <w:sz w:val="26"/>
          <w:szCs w:val="26"/>
        </w:rPr>
        <w:t xml:space="preserve">١٥ سؤال اختيار من متعدد. الوقت المقترح: ٣٠ دقيقة. الإجابات والتفسيرات في نهاية مجموعة الأسئلة.</w:t>
      </w:r>
    </w:p>
    <w:p>
      <w:pPr>
        <w:pBdr>
          <w:top w:val="single" w:color="B8912F" w:sz="4" w:space="6"/>
        </w:pBdr>
        <w:spacing w:after="40" w:before="260"/>
      </w:pPr>
      <w:r>
        <w:rPr>
          <w:rFonts w:ascii="Calibri" w:cs="Calibri" w:eastAsia="Calibri" w:hAnsi="Calibri"/>
          <w:b/>
          <w:bCs/>
          <w:color w:val="B8912F"/>
          <w:sz w:val="20"/>
          <w:szCs w:val="20"/>
        </w:rPr>
        <w:t xml:space="preserve">Question 1</w:t>
      </w:r>
    </w:p>
    <w:p>
      <w:pPr>
        <w:spacing w:after="30" w:line="300"/>
      </w:pPr>
      <w:r>
        <w:rPr>
          <w:rFonts w:ascii="Calibri" w:cs="Calibri" w:eastAsia="Calibri" w:hAnsi="Calibri"/>
          <w:b/>
          <w:bCs/>
          <w:sz w:val="25"/>
          <w:szCs w:val="25"/>
        </w:rPr>
        <w:t xml:space="preserve">Which of the following best describes "reasonable assurance"?</w:t>
      </w:r>
    </w:p>
    <w:p>
      <w:pPr>
        <w:bidi/>
        <w:spacing w:after="130" w:line="320"/>
        <w:jc w:val="right"/>
      </w:pPr>
      <w:r>
        <w:rPr>
          <w:rFonts w:ascii="Arial" w:cs="Arial" w:eastAsia="Arial" w:hAnsi="Arial"/>
          <w:b/>
          <w:bCs/>
          <w:sz w:val="26"/>
          <w:szCs w:val="26"/>
        </w:rPr>
        <w:t xml:space="preserve">أي مما يلي يصف بشكل أفضل "الضمان المعقول" (Reasonable Assurance)؟</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Absolute certainty that the financial statements are free from misstatement</w:t>
      </w:r>
      <w:r>
        <w:t xml:space="preserve"/>
      </w:r>
    </w:p>
    <w:p>
      <w:pPr>
        <w:shd w:fill="E7F3E8" w:val="clear"/>
        <w:spacing w:after="50" w:line="280"/>
        <w:ind w:left="431"/>
      </w:pPr>
      <w:r>
        <w:rPr>
          <w:rFonts w:ascii="Calibri" w:cs="Calibri" w:eastAsia="Calibri" w:hAnsi="Calibri"/>
          <w:b/>
          <w:bCs/>
          <w:color w:val="2E7D32"/>
          <w:sz w:val="23"/>
          <w:szCs w:val="23"/>
        </w:rPr>
        <w:t xml:space="preserve">B   </w:t>
      </w:r>
      <w:r>
        <w:rPr>
          <w:rFonts w:ascii="Calibri" w:cs="Calibri" w:eastAsia="Calibri" w:hAnsi="Calibri"/>
          <w:b/>
          <w:bCs/>
          <w:color w:val="2E7D32"/>
          <w:sz w:val="23"/>
          <w:szCs w:val="23"/>
        </w:rPr>
        <w:t xml:space="preserve">A high, but not absolute, level of assurance</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C   </w:t>
      </w:r>
      <w:r>
        <w:rPr>
          <w:rFonts w:ascii="Calibri" w:cs="Calibri" w:eastAsia="Calibri" w:hAnsi="Calibri"/>
          <w:b w:val="false"/>
          <w:bCs w:val="false"/>
          <w:color w:val="1A1A1A"/>
          <w:sz w:val="23"/>
          <w:szCs w:val="23"/>
        </w:rPr>
        <w:t xml:space="preserve">A lower level of assurance than a review engagement</w:t>
      </w:r>
      <w:r>
        <w:t xml:space="preserve"/>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No assurance is given at all</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Reasonable assurance is high but not absolute — an audit can never guarantee financial statements are 100% free from error due to inherent limitations (sampling, judgement, fraud concealment).</w:t>
      </w:r>
    </w:p>
    <w:p>
      <w:pPr>
        <w:bidi/>
        <w:spacing w:after="280" w:line="310"/>
        <w:jc w:val="right"/>
      </w:pPr>
      <w:r>
        <w:rPr>
          <w:rFonts w:ascii="Arial" w:cs="Arial" w:eastAsia="Arial" w:hAnsi="Arial"/>
          <w:i/>
          <w:iCs/>
          <w:color w:val="5B6472"/>
          <w:sz w:val="23"/>
          <w:szCs w:val="23"/>
        </w:rPr>
        <w:t xml:space="preserve">الضمان المعقول عالٍ لكنه غير مطلق — لا يمكن للتدقيق أبداً ضمان خلو القوائم المالية من الأخطاء بنسبة ١٠٠٪ بسبب القيود الملازمة (كالعينات والحكم المهني وإخفاء الاحتيال).</w:t>
      </w:r>
    </w:p>
    <w:p>
      <w:pPr>
        <w:pBdr>
          <w:top w:val="single" w:color="B8912F" w:sz="4" w:space="6"/>
        </w:pBdr>
        <w:spacing w:after="40" w:before="260"/>
      </w:pPr>
      <w:r>
        <w:rPr>
          <w:rFonts w:ascii="Calibri" w:cs="Calibri" w:eastAsia="Calibri" w:hAnsi="Calibri"/>
          <w:b/>
          <w:bCs/>
          <w:color w:val="B8912F"/>
          <w:sz w:val="20"/>
          <w:szCs w:val="20"/>
        </w:rPr>
        <w:t xml:space="preserve">Question 2</w:t>
      </w:r>
    </w:p>
    <w:p>
      <w:pPr>
        <w:spacing w:after="30" w:line="300"/>
      </w:pPr>
      <w:r>
        <w:rPr>
          <w:rFonts w:ascii="Calibri" w:cs="Calibri" w:eastAsia="Calibri" w:hAnsi="Calibri"/>
          <w:b/>
          <w:bCs/>
          <w:sz w:val="25"/>
          <w:szCs w:val="25"/>
        </w:rPr>
        <w:t xml:space="preserve">A firm's total fee income from one audit client represents 20% of total firm fees. This is an example of which threat?</w:t>
      </w:r>
    </w:p>
    <w:p>
      <w:pPr>
        <w:bidi/>
        <w:spacing w:after="130" w:line="320"/>
        <w:jc w:val="right"/>
      </w:pPr>
      <w:r>
        <w:rPr>
          <w:rFonts w:ascii="Arial" w:cs="Arial" w:eastAsia="Arial" w:hAnsi="Arial"/>
          <w:b/>
          <w:bCs/>
          <w:sz w:val="26"/>
          <w:szCs w:val="26"/>
        </w:rPr>
        <w:t xml:space="preserve">تمثل أتعاب مكتب تدقيق من عميل واحد ٢٠٪ من إجمالي أتعاب المكتب. أي تهديد يمثل هذا؟</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Self-review threat</w:t>
      </w:r>
      <w:r>
        <w:t xml:space="preserve"/>
      </w:r>
    </w:p>
    <w:p>
      <w:pPr>
        <w:spacing w:after="50" w:line="280"/>
        <w:ind w:left="431"/>
      </w:pPr>
      <w:r>
        <w:rPr>
          <w:rFonts w:ascii="Calibri" w:cs="Calibri" w:eastAsia="Calibri" w:hAnsi="Calibri"/>
          <w:b/>
          <w:bCs/>
          <w:color w:val="5B6472"/>
          <w:sz w:val="23"/>
          <w:szCs w:val="23"/>
        </w:rPr>
        <w:t xml:space="preserve">B   </w:t>
      </w:r>
      <w:r>
        <w:rPr>
          <w:rFonts w:ascii="Calibri" w:cs="Calibri" w:eastAsia="Calibri" w:hAnsi="Calibri"/>
          <w:b w:val="false"/>
          <w:bCs w:val="false"/>
          <w:color w:val="1A1A1A"/>
          <w:sz w:val="23"/>
          <w:szCs w:val="23"/>
        </w:rPr>
        <w:t xml:space="preserve">Advocacy threat</w:t>
      </w:r>
      <w:r>
        <w:t xml:space="preserve"/>
      </w:r>
    </w:p>
    <w:p>
      <w:pPr>
        <w:shd w:fill="E7F3E8" w:val="clear"/>
        <w:spacing w:after="50" w:line="280"/>
        <w:ind w:left="431"/>
      </w:pPr>
      <w:r>
        <w:rPr>
          <w:rFonts w:ascii="Calibri" w:cs="Calibri" w:eastAsia="Calibri" w:hAnsi="Calibri"/>
          <w:b/>
          <w:bCs/>
          <w:color w:val="2E7D32"/>
          <w:sz w:val="23"/>
          <w:szCs w:val="23"/>
        </w:rPr>
        <w:t xml:space="preserve">C   </w:t>
      </w:r>
      <w:r>
        <w:rPr>
          <w:rFonts w:ascii="Calibri" w:cs="Calibri" w:eastAsia="Calibri" w:hAnsi="Calibri"/>
          <w:b/>
          <w:bCs/>
          <w:color w:val="2E7D32"/>
          <w:sz w:val="23"/>
          <w:szCs w:val="23"/>
        </w:rPr>
        <w:t xml:space="preserve">Self-interest threat</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Intimidation threat</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High fee dependency on one client creates a self-interest threat — the firm may fear losing significant income if it issues an unfavourable opinion.</w:t>
      </w:r>
    </w:p>
    <w:p>
      <w:pPr>
        <w:bidi/>
        <w:spacing w:after="280" w:line="310"/>
        <w:jc w:val="right"/>
      </w:pPr>
      <w:r>
        <w:rPr>
          <w:rFonts w:ascii="Arial" w:cs="Arial" w:eastAsia="Arial" w:hAnsi="Arial"/>
          <w:i/>
          <w:iCs/>
          <w:color w:val="5B6472"/>
          <w:sz w:val="23"/>
          <w:szCs w:val="23"/>
        </w:rPr>
        <w:t xml:space="preserve">الاعتماد الكبير على أتعاب عميل واحد يخلق تهديد المصلحة الذاتية — قد يخشى المكتب فقدان دخل كبير إذا أصدر رأياً غير موافق لرغبة العميل.</w:t>
      </w:r>
    </w:p>
    <w:p>
      <w:pPr>
        <w:pBdr>
          <w:top w:val="single" w:color="B8912F" w:sz="4" w:space="6"/>
        </w:pBdr>
        <w:spacing w:after="40" w:before="260"/>
      </w:pPr>
      <w:r>
        <w:rPr>
          <w:rFonts w:ascii="Calibri" w:cs="Calibri" w:eastAsia="Calibri" w:hAnsi="Calibri"/>
          <w:b/>
          <w:bCs/>
          <w:color w:val="B8912F"/>
          <w:sz w:val="20"/>
          <w:szCs w:val="20"/>
        </w:rPr>
        <w:t xml:space="preserve">Question 3</w:t>
      </w:r>
    </w:p>
    <w:p>
      <w:pPr>
        <w:spacing w:after="30" w:line="300"/>
      </w:pPr>
      <w:r>
        <w:rPr>
          <w:rFonts w:ascii="Calibri" w:cs="Calibri" w:eastAsia="Calibri" w:hAnsi="Calibri"/>
          <w:b/>
          <w:bCs/>
          <w:sz w:val="25"/>
          <w:szCs w:val="25"/>
        </w:rPr>
        <w:t xml:space="preserve">Which type of audit risk is entirely within the auditor's control?</w:t>
      </w:r>
    </w:p>
    <w:p>
      <w:pPr>
        <w:bidi/>
        <w:spacing w:after="130" w:line="320"/>
        <w:jc w:val="right"/>
      </w:pPr>
      <w:r>
        <w:rPr>
          <w:rFonts w:ascii="Arial" w:cs="Arial" w:eastAsia="Arial" w:hAnsi="Arial"/>
          <w:b/>
          <w:bCs/>
          <w:sz w:val="26"/>
          <w:szCs w:val="26"/>
        </w:rPr>
        <w:t xml:space="preserve">أي نوع من مخاطر التدقيق يقع بالكامل تحت سيطرة المدقق؟</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Inherent risk</w:t>
      </w:r>
      <w:r>
        <w:t xml:space="preserve"/>
      </w:r>
    </w:p>
    <w:p>
      <w:pPr>
        <w:spacing w:after="50" w:line="280"/>
        <w:ind w:left="431"/>
      </w:pPr>
      <w:r>
        <w:rPr>
          <w:rFonts w:ascii="Calibri" w:cs="Calibri" w:eastAsia="Calibri" w:hAnsi="Calibri"/>
          <w:b/>
          <w:bCs/>
          <w:color w:val="5B6472"/>
          <w:sz w:val="23"/>
          <w:szCs w:val="23"/>
        </w:rPr>
        <w:t xml:space="preserve">B   </w:t>
      </w:r>
      <w:r>
        <w:rPr>
          <w:rFonts w:ascii="Calibri" w:cs="Calibri" w:eastAsia="Calibri" w:hAnsi="Calibri"/>
          <w:b w:val="false"/>
          <w:bCs w:val="false"/>
          <w:color w:val="1A1A1A"/>
          <w:sz w:val="23"/>
          <w:szCs w:val="23"/>
        </w:rPr>
        <w:t xml:space="preserve">Control risk</w:t>
      </w:r>
      <w:r>
        <w:t xml:space="preserve"/>
      </w:r>
    </w:p>
    <w:p>
      <w:pPr>
        <w:shd w:fill="E7F3E8" w:val="clear"/>
        <w:spacing w:after="50" w:line="280"/>
        <w:ind w:left="431"/>
      </w:pPr>
      <w:r>
        <w:rPr>
          <w:rFonts w:ascii="Calibri" w:cs="Calibri" w:eastAsia="Calibri" w:hAnsi="Calibri"/>
          <w:b/>
          <w:bCs/>
          <w:color w:val="2E7D32"/>
          <w:sz w:val="23"/>
          <w:szCs w:val="23"/>
        </w:rPr>
        <w:t xml:space="preserve">C   </w:t>
      </w:r>
      <w:r>
        <w:rPr>
          <w:rFonts w:ascii="Calibri" w:cs="Calibri" w:eastAsia="Calibri" w:hAnsi="Calibri"/>
          <w:b/>
          <w:bCs/>
          <w:color w:val="2E7D32"/>
          <w:sz w:val="23"/>
          <w:szCs w:val="23"/>
        </w:rPr>
        <w:t xml:space="preserve">Detection risk</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Business risk</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Detection risk is controlled by the auditor through the nature, timing, and extent of audit procedures performed.</w:t>
      </w:r>
    </w:p>
    <w:p>
      <w:pPr>
        <w:bidi/>
        <w:spacing w:after="280" w:line="310"/>
        <w:jc w:val="right"/>
      </w:pPr>
      <w:r>
        <w:rPr>
          <w:rFonts w:ascii="Arial" w:cs="Arial" w:eastAsia="Arial" w:hAnsi="Arial"/>
          <w:i/>
          <w:iCs/>
          <w:color w:val="5B6472"/>
          <w:sz w:val="23"/>
          <w:szCs w:val="23"/>
        </w:rPr>
        <w:t xml:space="preserve">يتحكم المدقق بمخاطر عدم الاكتشاف من خلال طبيعة وتوقيت ونطاق إجراءات التدقيق المنفذة.</w:t>
      </w:r>
    </w:p>
    <w:p>
      <w:pPr>
        <w:pBdr>
          <w:top w:val="single" w:color="B8912F" w:sz="4" w:space="6"/>
        </w:pBdr>
        <w:spacing w:after="40" w:before="260"/>
      </w:pPr>
      <w:r>
        <w:rPr>
          <w:rFonts w:ascii="Calibri" w:cs="Calibri" w:eastAsia="Calibri" w:hAnsi="Calibri"/>
          <w:b/>
          <w:bCs/>
          <w:color w:val="B8912F"/>
          <w:sz w:val="20"/>
          <w:szCs w:val="20"/>
        </w:rPr>
        <w:t xml:space="preserve">Question 4</w:t>
      </w:r>
    </w:p>
    <w:p>
      <w:pPr>
        <w:spacing w:after="30" w:line="300"/>
      </w:pPr>
      <w:r>
        <w:rPr>
          <w:rFonts w:ascii="Calibri" w:cs="Calibri" w:eastAsia="Calibri" w:hAnsi="Calibri"/>
          <w:b/>
          <w:bCs/>
          <w:sz w:val="25"/>
          <w:szCs w:val="25"/>
        </w:rPr>
        <w:t xml:space="preserve">Attendance at the physical inventory count primarily provides evidence about which assertion?</w:t>
      </w:r>
    </w:p>
    <w:p>
      <w:pPr>
        <w:bidi/>
        <w:spacing w:after="130" w:line="320"/>
        <w:jc w:val="right"/>
      </w:pPr>
      <w:r>
        <w:rPr>
          <w:rFonts w:ascii="Arial" w:cs="Arial" w:eastAsia="Arial" w:hAnsi="Arial"/>
          <w:b/>
          <w:bCs/>
          <w:sz w:val="26"/>
          <w:szCs w:val="26"/>
        </w:rPr>
        <w:t xml:space="preserve">حضور الجرد الفعلي للمخزون يوفر أدلة بشكل أساسي حول أي تأكيد (Assertion)؟</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Valuation</w:t>
      </w:r>
      <w:r>
        <w:t xml:space="preserve"/>
      </w:r>
    </w:p>
    <w:p>
      <w:pPr>
        <w:spacing w:after="50" w:line="280"/>
        <w:ind w:left="431"/>
      </w:pPr>
      <w:r>
        <w:rPr>
          <w:rFonts w:ascii="Calibri" w:cs="Calibri" w:eastAsia="Calibri" w:hAnsi="Calibri"/>
          <w:b/>
          <w:bCs/>
          <w:color w:val="5B6472"/>
          <w:sz w:val="23"/>
          <w:szCs w:val="23"/>
        </w:rPr>
        <w:t xml:space="preserve">B   </w:t>
      </w:r>
      <w:r>
        <w:rPr>
          <w:rFonts w:ascii="Calibri" w:cs="Calibri" w:eastAsia="Calibri" w:hAnsi="Calibri"/>
          <w:b w:val="false"/>
          <w:bCs w:val="false"/>
          <w:color w:val="1A1A1A"/>
          <w:sz w:val="23"/>
          <w:szCs w:val="23"/>
        </w:rPr>
        <w:t xml:space="preserve">Rights and obligations</w:t>
      </w:r>
      <w:r>
        <w:t xml:space="preserve"/>
      </w:r>
    </w:p>
    <w:p>
      <w:pPr>
        <w:shd w:fill="E7F3E8" w:val="clear"/>
        <w:spacing w:after="50" w:line="280"/>
        <w:ind w:left="431"/>
      </w:pPr>
      <w:r>
        <w:rPr>
          <w:rFonts w:ascii="Calibri" w:cs="Calibri" w:eastAsia="Calibri" w:hAnsi="Calibri"/>
          <w:b/>
          <w:bCs/>
          <w:color w:val="2E7D32"/>
          <w:sz w:val="23"/>
          <w:szCs w:val="23"/>
        </w:rPr>
        <w:t xml:space="preserve">C   </w:t>
      </w:r>
      <w:r>
        <w:rPr>
          <w:rFonts w:ascii="Calibri" w:cs="Calibri" w:eastAsia="Calibri" w:hAnsi="Calibri"/>
          <w:b/>
          <w:bCs/>
          <w:color w:val="2E7D32"/>
          <w:sz w:val="23"/>
          <w:szCs w:val="23"/>
        </w:rPr>
        <w:t xml:space="preserve">Existence</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Completeness only</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Physically observing the count provides direct evidence that inventory recorded actually exists.</w:t>
      </w:r>
    </w:p>
    <w:p>
      <w:pPr>
        <w:bidi/>
        <w:spacing w:after="280" w:line="310"/>
        <w:jc w:val="right"/>
      </w:pPr>
      <w:r>
        <w:rPr>
          <w:rFonts w:ascii="Arial" w:cs="Arial" w:eastAsia="Arial" w:hAnsi="Arial"/>
          <w:i/>
          <w:iCs/>
          <w:color w:val="5B6472"/>
          <w:sz w:val="23"/>
          <w:szCs w:val="23"/>
        </w:rPr>
        <w:t xml:space="preserve">مراقبة الجرد الفعلي مباشرة توفر دليلاً مباشراً على وجود المخزون المسجَّل فعلياً.</w:t>
      </w:r>
    </w:p>
    <w:p>
      <w:pPr>
        <w:pBdr>
          <w:top w:val="single" w:color="B8912F" w:sz="4" w:space="6"/>
        </w:pBdr>
        <w:spacing w:after="40" w:before="260"/>
      </w:pPr>
      <w:r>
        <w:rPr>
          <w:rFonts w:ascii="Calibri" w:cs="Calibri" w:eastAsia="Calibri" w:hAnsi="Calibri"/>
          <w:b/>
          <w:bCs/>
          <w:color w:val="B8912F"/>
          <w:sz w:val="20"/>
          <w:szCs w:val="20"/>
        </w:rPr>
        <w:t xml:space="preserve">Question 5</w:t>
      </w:r>
    </w:p>
    <w:p>
      <w:pPr>
        <w:spacing w:after="30" w:line="300"/>
      </w:pPr>
      <w:r>
        <w:rPr>
          <w:rFonts w:ascii="Calibri" w:cs="Calibri" w:eastAsia="Calibri" w:hAnsi="Calibri"/>
          <w:b/>
          <w:bCs/>
          <w:sz w:val="25"/>
          <w:szCs w:val="25"/>
        </w:rPr>
        <w:t xml:space="preserve">Which of the following is a non-adjusting subsequent event?</w:t>
      </w:r>
    </w:p>
    <w:p>
      <w:pPr>
        <w:bidi/>
        <w:spacing w:after="130" w:line="320"/>
        <w:jc w:val="right"/>
      </w:pPr>
      <w:r>
        <w:rPr>
          <w:rFonts w:ascii="Arial" w:cs="Arial" w:eastAsia="Arial" w:hAnsi="Arial"/>
          <w:b/>
          <w:bCs/>
          <w:sz w:val="26"/>
          <w:szCs w:val="26"/>
        </w:rPr>
        <w:t xml:space="preserve">أي مما يلي يُعد حدثاً لاحقاً غير تعديلي؟</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A court case in progress at year-end is settled after year-end, confirming a liability existed at year-end</w:t>
      </w:r>
      <w:r>
        <w:t xml:space="preserve"/>
      </w:r>
    </w:p>
    <w:p>
      <w:pPr>
        <w:shd w:fill="E7F3E8" w:val="clear"/>
        <w:spacing w:after="50" w:line="280"/>
        <w:ind w:left="431"/>
      </w:pPr>
      <w:r>
        <w:rPr>
          <w:rFonts w:ascii="Calibri" w:cs="Calibri" w:eastAsia="Calibri" w:hAnsi="Calibri"/>
          <w:b/>
          <w:bCs/>
          <w:color w:val="2E7D32"/>
          <w:sz w:val="23"/>
          <w:szCs w:val="23"/>
        </w:rPr>
        <w:t xml:space="preserve">B   </w:t>
      </w:r>
      <w:r>
        <w:rPr>
          <w:rFonts w:ascii="Calibri" w:cs="Calibri" w:eastAsia="Calibri" w:hAnsi="Calibri"/>
          <w:b/>
          <w:bCs/>
          <w:color w:val="2E7D32"/>
          <w:sz w:val="23"/>
          <w:szCs w:val="23"/>
        </w:rPr>
        <w:t xml:space="preserve">A major fire destroys a warehouse two weeks after the year-end</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C   </w:t>
      </w:r>
      <w:r>
        <w:rPr>
          <w:rFonts w:ascii="Calibri" w:cs="Calibri" w:eastAsia="Calibri" w:hAnsi="Calibri"/>
          <w:b w:val="false"/>
          <w:bCs w:val="false"/>
          <w:color w:val="1A1A1A"/>
          <w:sz w:val="23"/>
          <w:szCs w:val="23"/>
        </w:rPr>
        <w:t xml:space="preserve">A customer who owed a material receivable balance at year-end goes bankrupt shortly after year-end</w:t>
      </w:r>
      <w:r>
        <w:t xml:space="preserve"/>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Year-end inventory is found to have been incorrectly valued due to a condition that existed at year-end</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A fire after year-end is a new condition arising after the reporting date — it does not require adjustment, only disclosure if material.</w:t>
      </w:r>
    </w:p>
    <w:p>
      <w:pPr>
        <w:bidi/>
        <w:spacing w:after="280" w:line="310"/>
        <w:jc w:val="right"/>
      </w:pPr>
      <w:r>
        <w:rPr>
          <w:rFonts w:ascii="Arial" w:cs="Arial" w:eastAsia="Arial" w:hAnsi="Arial"/>
          <w:i/>
          <w:iCs/>
          <w:color w:val="5B6472"/>
          <w:sz w:val="23"/>
          <w:szCs w:val="23"/>
        </w:rPr>
        <w:t xml:space="preserve">الحريق بعد تاريخ الميزانية هو ظرف جديد نشأ بعد تاريخ التقرير — لا يتطلب تعديلاً، بل فقط إفصاحاً إذا كان جوهرياً.</w:t>
      </w:r>
    </w:p>
    <w:p>
      <w:pPr>
        <w:pBdr>
          <w:top w:val="single" w:color="B8912F" w:sz="4" w:space="6"/>
        </w:pBdr>
        <w:spacing w:after="40" w:before="260"/>
      </w:pPr>
      <w:r>
        <w:rPr>
          <w:rFonts w:ascii="Calibri" w:cs="Calibri" w:eastAsia="Calibri" w:hAnsi="Calibri"/>
          <w:b/>
          <w:bCs/>
          <w:color w:val="B8912F"/>
          <w:sz w:val="20"/>
          <w:szCs w:val="20"/>
        </w:rPr>
        <w:t xml:space="preserve">Question 6</w:t>
      </w:r>
    </w:p>
    <w:p>
      <w:pPr>
        <w:spacing w:after="30" w:line="300"/>
      </w:pPr>
      <w:r>
        <w:rPr>
          <w:rFonts w:ascii="Calibri" w:cs="Calibri" w:eastAsia="Calibri" w:hAnsi="Calibri"/>
          <w:b/>
          <w:bCs/>
          <w:sz w:val="25"/>
          <w:szCs w:val="25"/>
        </w:rPr>
        <w:t xml:space="preserve">A modified opinion that is both material and pervasive, where the auditor disagrees with management, results in which opinion?</w:t>
      </w:r>
    </w:p>
    <w:p>
      <w:pPr>
        <w:bidi/>
        <w:spacing w:after="130" w:line="320"/>
        <w:jc w:val="right"/>
      </w:pPr>
      <w:r>
        <w:rPr>
          <w:rFonts w:ascii="Arial" w:cs="Arial" w:eastAsia="Arial" w:hAnsi="Arial"/>
          <w:b/>
          <w:bCs/>
          <w:sz w:val="26"/>
          <w:szCs w:val="26"/>
        </w:rPr>
        <w:t xml:space="preserve">الرأي المعدَّل الجوهري والمنتشر معاً، عندما يختلف المدقق مع الإدارة، يؤدي إلى أي رأي؟</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Qualified opinion</w:t>
      </w:r>
      <w:r>
        <w:t xml:space="preserve"/>
      </w:r>
    </w:p>
    <w:p>
      <w:pPr>
        <w:shd w:fill="E7F3E8" w:val="clear"/>
        <w:spacing w:after="50" w:line="280"/>
        <w:ind w:left="431"/>
      </w:pPr>
      <w:r>
        <w:rPr>
          <w:rFonts w:ascii="Calibri" w:cs="Calibri" w:eastAsia="Calibri" w:hAnsi="Calibri"/>
          <w:b/>
          <w:bCs/>
          <w:color w:val="2E7D32"/>
          <w:sz w:val="23"/>
          <w:szCs w:val="23"/>
        </w:rPr>
        <w:t xml:space="preserve">B   </w:t>
      </w:r>
      <w:r>
        <w:rPr>
          <w:rFonts w:ascii="Calibri" w:cs="Calibri" w:eastAsia="Calibri" w:hAnsi="Calibri"/>
          <w:b/>
          <w:bCs/>
          <w:color w:val="2E7D32"/>
          <w:sz w:val="23"/>
          <w:szCs w:val="23"/>
        </w:rPr>
        <w:t xml:space="preserve">Adverse opinion</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C   </w:t>
      </w:r>
      <w:r>
        <w:rPr>
          <w:rFonts w:ascii="Calibri" w:cs="Calibri" w:eastAsia="Calibri" w:hAnsi="Calibri"/>
          <w:b w:val="false"/>
          <w:bCs w:val="false"/>
          <w:color w:val="1A1A1A"/>
          <w:sz w:val="23"/>
          <w:szCs w:val="23"/>
        </w:rPr>
        <w:t xml:space="preserve">Disclaimer of opinion</w:t>
      </w:r>
      <w:r>
        <w:t xml:space="preserve"/>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Unmodified opinion with EOM</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Material and pervasive disagreement with management results in an adverse opinion.</w:t>
      </w:r>
    </w:p>
    <w:p>
      <w:pPr>
        <w:bidi/>
        <w:spacing w:after="280" w:line="310"/>
        <w:jc w:val="right"/>
      </w:pPr>
      <w:r>
        <w:rPr>
          <w:rFonts w:ascii="Arial" w:cs="Arial" w:eastAsia="Arial" w:hAnsi="Arial"/>
          <w:i/>
          <w:iCs/>
          <w:color w:val="5B6472"/>
          <w:sz w:val="23"/>
          <w:szCs w:val="23"/>
        </w:rPr>
        <w:t xml:space="preserve">الاختلاف الجوهري والمنتشر مع الإدارة يؤدي إلى رأي معاكس (Adverse).</w:t>
      </w:r>
    </w:p>
    <w:p>
      <w:pPr>
        <w:pBdr>
          <w:top w:val="single" w:color="B8912F" w:sz="4" w:space="6"/>
        </w:pBdr>
        <w:spacing w:after="40" w:before="260"/>
      </w:pPr>
      <w:r>
        <w:rPr>
          <w:rFonts w:ascii="Calibri" w:cs="Calibri" w:eastAsia="Calibri" w:hAnsi="Calibri"/>
          <w:b/>
          <w:bCs/>
          <w:color w:val="B8912F"/>
          <w:sz w:val="20"/>
          <w:szCs w:val="20"/>
        </w:rPr>
        <w:t xml:space="preserve">Question 7</w:t>
      </w:r>
    </w:p>
    <w:p>
      <w:pPr>
        <w:spacing w:after="30" w:line="300"/>
      </w:pPr>
      <w:r>
        <w:rPr>
          <w:rFonts w:ascii="Calibri" w:cs="Calibri" w:eastAsia="Calibri" w:hAnsi="Calibri"/>
          <w:b/>
          <w:bCs/>
          <w:sz w:val="25"/>
          <w:szCs w:val="25"/>
        </w:rPr>
        <w:t xml:space="preserve">Who is primarily responsible for the prevention and detection of fraud in an entity?</w:t>
      </w:r>
    </w:p>
    <w:p>
      <w:pPr>
        <w:bidi/>
        <w:spacing w:after="130" w:line="320"/>
        <w:jc w:val="right"/>
      </w:pPr>
      <w:r>
        <w:rPr>
          <w:rFonts w:ascii="Arial" w:cs="Arial" w:eastAsia="Arial" w:hAnsi="Arial"/>
          <w:b/>
          <w:bCs/>
          <w:sz w:val="26"/>
          <w:szCs w:val="26"/>
        </w:rPr>
        <w:t xml:space="preserve">من يتحمل المسؤولية الأساسية عن منع واكتشاف الاحتيال في المنشأة؟</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The external auditor</w:t>
      </w:r>
      <w:r>
        <w:t xml:space="preserve"/>
      </w:r>
    </w:p>
    <w:p>
      <w:pPr>
        <w:shd w:fill="E7F3E8" w:val="clear"/>
        <w:spacing w:after="50" w:line="280"/>
        <w:ind w:left="431"/>
      </w:pPr>
      <w:r>
        <w:rPr>
          <w:rFonts w:ascii="Calibri" w:cs="Calibri" w:eastAsia="Calibri" w:hAnsi="Calibri"/>
          <w:b/>
          <w:bCs/>
          <w:color w:val="2E7D32"/>
          <w:sz w:val="23"/>
          <w:szCs w:val="23"/>
        </w:rPr>
        <w:t xml:space="preserve">B   </w:t>
      </w:r>
      <w:r>
        <w:rPr>
          <w:rFonts w:ascii="Calibri" w:cs="Calibri" w:eastAsia="Calibri" w:hAnsi="Calibri"/>
          <w:b/>
          <w:bCs/>
          <w:color w:val="2E7D32"/>
          <w:sz w:val="23"/>
          <w:szCs w:val="23"/>
        </w:rPr>
        <w:t xml:space="preserve">Those charged with governance and management</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C   </w:t>
      </w:r>
      <w:r>
        <w:rPr>
          <w:rFonts w:ascii="Calibri" w:cs="Calibri" w:eastAsia="Calibri" w:hAnsi="Calibri"/>
          <w:b w:val="false"/>
          <w:bCs w:val="false"/>
          <w:color w:val="1A1A1A"/>
          <w:sz w:val="23"/>
          <w:szCs w:val="23"/>
        </w:rPr>
        <w:t xml:space="preserve">The internal audit function only</w:t>
      </w:r>
      <w:r>
        <w:t xml:space="preserve"/>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The regulator</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Management and those charged with governance are responsible for establishing controls to prevent and detect fraud; the auditor obtains reasonable assurance the FS are free from material misstatement due to fraud or error.</w:t>
      </w:r>
    </w:p>
    <w:p>
      <w:pPr>
        <w:bidi/>
        <w:spacing w:after="280" w:line="310"/>
        <w:jc w:val="right"/>
      </w:pPr>
      <w:r>
        <w:rPr>
          <w:rFonts w:ascii="Arial" w:cs="Arial" w:eastAsia="Arial" w:hAnsi="Arial"/>
          <w:i/>
          <w:iCs/>
          <w:color w:val="5B6472"/>
          <w:sz w:val="23"/>
          <w:szCs w:val="23"/>
        </w:rPr>
        <w:t xml:space="preserve">تتحمل الإدارة والمكلفون بالحوكمة مسؤولية وضع الضوابط لمنع واكتشاف الاحتيال؛ ويحصل المدقق على ضمان معقول بخلو القوائم المالية من تحريف جوهري ناتج عن احتيال أو خطأ.</w:t>
      </w:r>
    </w:p>
    <w:p>
      <w:pPr>
        <w:pBdr>
          <w:top w:val="single" w:color="B8912F" w:sz="4" w:space="6"/>
        </w:pBdr>
        <w:spacing w:after="40" w:before="260"/>
      </w:pPr>
      <w:r>
        <w:rPr>
          <w:rFonts w:ascii="Calibri" w:cs="Calibri" w:eastAsia="Calibri" w:hAnsi="Calibri"/>
          <w:b/>
          <w:bCs/>
          <w:color w:val="B8912F"/>
          <w:sz w:val="20"/>
          <w:szCs w:val="20"/>
        </w:rPr>
        <w:t xml:space="preserve">Question 8</w:t>
      </w:r>
    </w:p>
    <w:p>
      <w:pPr>
        <w:spacing w:after="30" w:line="300"/>
      </w:pPr>
      <w:r>
        <w:rPr>
          <w:rFonts w:ascii="Calibri" w:cs="Calibri" w:eastAsia="Calibri" w:hAnsi="Calibri"/>
          <w:b/>
          <w:bCs/>
          <w:sz w:val="25"/>
          <w:szCs w:val="25"/>
        </w:rPr>
        <w:t xml:space="preserve">Which procedure would provide the most reliable evidence over the existence of a bank balance?</w:t>
      </w:r>
    </w:p>
    <w:p>
      <w:pPr>
        <w:bidi/>
        <w:spacing w:after="130" w:line="320"/>
        <w:jc w:val="right"/>
      </w:pPr>
      <w:r>
        <w:rPr>
          <w:rFonts w:ascii="Arial" w:cs="Arial" w:eastAsia="Arial" w:hAnsi="Arial"/>
          <w:b/>
          <w:bCs/>
          <w:sz w:val="26"/>
          <w:szCs w:val="26"/>
        </w:rPr>
        <w:t xml:space="preserve">أي إجراء يوفر أكثر الأدلة موثوقية حول وجود رصيد بنكي؟</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Inquiry of the finance director</w:t>
      </w:r>
      <w:r>
        <w:t xml:space="preserve"/>
      </w:r>
    </w:p>
    <w:p>
      <w:pPr>
        <w:spacing w:after="50" w:line="280"/>
        <w:ind w:left="431"/>
      </w:pPr>
      <w:r>
        <w:rPr>
          <w:rFonts w:ascii="Calibri" w:cs="Calibri" w:eastAsia="Calibri" w:hAnsi="Calibri"/>
          <w:b/>
          <w:bCs/>
          <w:color w:val="5B6472"/>
          <w:sz w:val="23"/>
          <w:szCs w:val="23"/>
        </w:rPr>
        <w:t xml:space="preserve">B   </w:t>
      </w:r>
      <w:r>
        <w:rPr>
          <w:rFonts w:ascii="Calibri" w:cs="Calibri" w:eastAsia="Calibri" w:hAnsi="Calibri"/>
          <w:b w:val="false"/>
          <w:bCs w:val="false"/>
          <w:color w:val="1A1A1A"/>
          <w:sz w:val="23"/>
          <w:szCs w:val="23"/>
        </w:rPr>
        <w:t xml:space="preserve">Review of the bank reconciliation prepared by the client</w:t>
      </w:r>
      <w:r>
        <w:t xml:space="preserve"/>
      </w:r>
    </w:p>
    <w:p>
      <w:pPr>
        <w:shd w:fill="E7F3E8" w:val="clear"/>
        <w:spacing w:after="50" w:line="280"/>
        <w:ind w:left="431"/>
      </w:pPr>
      <w:r>
        <w:rPr>
          <w:rFonts w:ascii="Calibri" w:cs="Calibri" w:eastAsia="Calibri" w:hAnsi="Calibri"/>
          <w:b/>
          <w:bCs/>
          <w:color w:val="2E7D32"/>
          <w:sz w:val="23"/>
          <w:szCs w:val="23"/>
        </w:rPr>
        <w:t xml:space="preserve">C   </w:t>
      </w:r>
      <w:r>
        <w:rPr>
          <w:rFonts w:ascii="Calibri" w:cs="Calibri" w:eastAsia="Calibri" w:hAnsi="Calibri"/>
          <w:b/>
          <w:bCs/>
          <w:color w:val="2E7D32"/>
          <w:sz w:val="23"/>
          <w:szCs w:val="23"/>
        </w:rPr>
        <w:t xml:space="preserve">A bank confirmation letter sent directly to and received directly from the bank</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Analytical review of cash balances over the year</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A direct bank confirmation is external, independent, and obtained directly by the auditor — the most reliable form of evidence.</w:t>
      </w:r>
    </w:p>
    <w:p>
      <w:pPr>
        <w:bidi/>
        <w:spacing w:after="280" w:line="310"/>
        <w:jc w:val="right"/>
      </w:pPr>
      <w:r>
        <w:rPr>
          <w:rFonts w:ascii="Arial" w:cs="Arial" w:eastAsia="Arial" w:hAnsi="Arial"/>
          <w:i/>
          <w:iCs/>
          <w:color w:val="5B6472"/>
          <w:sz w:val="23"/>
          <w:szCs w:val="23"/>
        </w:rPr>
        <w:t xml:space="preserve">مصادقة البنك المباشرة هي مصدر خارجي مستقل يحصل عليه المدقق مباشرة — وهي أكثر أشكال الأدلة موثوقية.</w:t>
      </w:r>
    </w:p>
    <w:p>
      <w:pPr>
        <w:pBdr>
          <w:top w:val="single" w:color="B8912F" w:sz="4" w:space="6"/>
        </w:pBdr>
        <w:spacing w:after="40" w:before="260"/>
      </w:pPr>
      <w:r>
        <w:rPr>
          <w:rFonts w:ascii="Calibri" w:cs="Calibri" w:eastAsia="Calibri" w:hAnsi="Calibri"/>
          <w:b/>
          <w:bCs/>
          <w:color w:val="B8912F"/>
          <w:sz w:val="20"/>
          <w:szCs w:val="20"/>
        </w:rPr>
        <w:t xml:space="preserve">Question 9</w:t>
      </w:r>
    </w:p>
    <w:p>
      <w:pPr>
        <w:spacing w:after="30" w:line="300"/>
      </w:pPr>
      <w:r>
        <w:rPr>
          <w:rFonts w:ascii="Calibri" w:cs="Calibri" w:eastAsia="Calibri" w:hAnsi="Calibri"/>
          <w:b/>
          <w:bCs/>
          <w:sz w:val="25"/>
          <w:szCs w:val="25"/>
        </w:rPr>
        <w:t xml:space="preserve">ISA 265 requires significant deficiencies in internal control to be communicated to:</w:t>
      </w:r>
    </w:p>
    <w:p>
      <w:pPr>
        <w:bidi/>
        <w:spacing w:after="130" w:line="320"/>
        <w:jc w:val="right"/>
      </w:pPr>
      <w:r>
        <w:rPr>
          <w:rFonts w:ascii="Arial" w:cs="Arial" w:eastAsia="Arial" w:hAnsi="Arial"/>
          <w:b/>
          <w:bCs/>
          <w:sz w:val="26"/>
          <w:szCs w:val="26"/>
        </w:rPr>
        <w:t xml:space="preserve">يتطلب معيار ISA 265 إبلاغ أوجه القصور الجوهرية في الرقابة الداخلية إلى:</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Shareholders only</w:t>
      </w:r>
      <w:r>
        <w:t xml:space="preserve"/>
      </w:r>
    </w:p>
    <w:p>
      <w:pPr>
        <w:spacing w:after="50" w:line="280"/>
        <w:ind w:left="431"/>
      </w:pPr>
      <w:r>
        <w:rPr>
          <w:rFonts w:ascii="Calibri" w:cs="Calibri" w:eastAsia="Calibri" w:hAnsi="Calibri"/>
          <w:b/>
          <w:bCs/>
          <w:color w:val="5B6472"/>
          <w:sz w:val="23"/>
          <w:szCs w:val="23"/>
        </w:rPr>
        <w:t xml:space="preserve">B   </w:t>
      </w:r>
      <w:r>
        <w:rPr>
          <w:rFonts w:ascii="Calibri" w:cs="Calibri" w:eastAsia="Calibri" w:hAnsi="Calibri"/>
          <w:b w:val="false"/>
          <w:bCs w:val="false"/>
          <w:color w:val="1A1A1A"/>
          <w:sz w:val="23"/>
          <w:szCs w:val="23"/>
        </w:rPr>
        <w:t xml:space="preserve">The regulator</w:t>
      </w:r>
      <w:r>
        <w:t xml:space="preserve"/>
      </w:r>
    </w:p>
    <w:p>
      <w:pPr>
        <w:shd w:fill="E7F3E8" w:val="clear"/>
        <w:spacing w:after="50" w:line="280"/>
        <w:ind w:left="431"/>
      </w:pPr>
      <w:r>
        <w:rPr>
          <w:rFonts w:ascii="Calibri" w:cs="Calibri" w:eastAsia="Calibri" w:hAnsi="Calibri"/>
          <w:b/>
          <w:bCs/>
          <w:color w:val="2E7D32"/>
          <w:sz w:val="23"/>
          <w:szCs w:val="23"/>
        </w:rPr>
        <w:t xml:space="preserve">C   </w:t>
      </w:r>
      <w:r>
        <w:rPr>
          <w:rFonts w:ascii="Calibri" w:cs="Calibri" w:eastAsia="Calibri" w:hAnsi="Calibri"/>
          <w:b/>
          <w:bCs/>
          <w:color w:val="2E7D32"/>
          <w:sz w:val="23"/>
          <w:szCs w:val="23"/>
        </w:rPr>
        <w:t xml:space="preserve">Those charged with governance, in writing</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Only verbally to management</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Significant deficiencies must be communicated in writing, on a timely basis, to those charged with governance.</w:t>
      </w:r>
    </w:p>
    <w:p>
      <w:pPr>
        <w:bidi/>
        <w:spacing w:after="280" w:line="310"/>
        <w:jc w:val="right"/>
      </w:pPr>
      <w:r>
        <w:rPr>
          <w:rFonts w:ascii="Arial" w:cs="Arial" w:eastAsia="Arial" w:hAnsi="Arial"/>
          <w:i/>
          <w:iCs/>
          <w:color w:val="5B6472"/>
          <w:sz w:val="23"/>
          <w:szCs w:val="23"/>
        </w:rPr>
        <w:t xml:space="preserve">يجب إبلاغ أوجه القصور الجوهرية كتابياً وفي الوقت المناسب إلى المكلفين بالحوكمة.</w:t>
      </w:r>
    </w:p>
    <w:p>
      <w:pPr>
        <w:pBdr>
          <w:top w:val="single" w:color="B8912F" w:sz="4" w:space="6"/>
        </w:pBdr>
        <w:spacing w:after="40" w:before="260"/>
      </w:pPr>
      <w:r>
        <w:rPr>
          <w:rFonts w:ascii="Calibri" w:cs="Calibri" w:eastAsia="Calibri" w:hAnsi="Calibri"/>
          <w:b/>
          <w:bCs/>
          <w:color w:val="B8912F"/>
          <w:sz w:val="20"/>
          <w:szCs w:val="20"/>
        </w:rPr>
        <w:t xml:space="preserve">Question 10</w:t>
      </w:r>
    </w:p>
    <w:p>
      <w:pPr>
        <w:spacing w:after="30" w:line="300"/>
      </w:pPr>
      <w:r>
        <w:rPr>
          <w:rFonts w:ascii="Calibri" w:cs="Calibri" w:eastAsia="Calibri" w:hAnsi="Calibri"/>
          <w:b/>
          <w:bCs/>
          <w:sz w:val="25"/>
          <w:szCs w:val="25"/>
        </w:rPr>
        <w:t xml:space="preserve">Which of the following is an example of a test of control (not a substantive procedure)?</w:t>
      </w:r>
    </w:p>
    <w:p>
      <w:pPr>
        <w:bidi/>
        <w:spacing w:after="130" w:line="320"/>
        <w:jc w:val="right"/>
      </w:pPr>
      <w:r>
        <w:rPr>
          <w:rFonts w:ascii="Arial" w:cs="Arial" w:eastAsia="Arial" w:hAnsi="Arial"/>
          <w:b/>
          <w:bCs/>
          <w:sz w:val="26"/>
          <w:szCs w:val="26"/>
        </w:rPr>
        <w:t xml:space="preserve">أي مما يلي مثال على اختبار رقابة (وليس إجراءً جوهرياً)؟</w:t>
      </w:r>
    </w:p>
    <w:p>
      <w:pPr>
        <w:spacing w:after="50" w:line="280"/>
        <w:ind w:left="431"/>
      </w:pPr>
      <w:r>
        <w:rPr>
          <w:rFonts w:ascii="Calibri" w:cs="Calibri" w:eastAsia="Calibri" w:hAnsi="Calibri"/>
          <w:b/>
          <w:bCs/>
          <w:color w:val="5B6472"/>
          <w:sz w:val="23"/>
          <w:szCs w:val="23"/>
        </w:rPr>
        <w:t xml:space="preserve">A   </w:t>
      </w:r>
      <w:r>
        <w:rPr>
          <w:rFonts w:ascii="Calibri" w:cs="Calibri" w:eastAsia="Calibri" w:hAnsi="Calibri"/>
          <w:b w:val="false"/>
          <w:bCs w:val="false"/>
          <w:color w:val="1A1A1A"/>
          <w:sz w:val="23"/>
          <w:szCs w:val="23"/>
        </w:rPr>
        <w:t xml:space="preserve">Recalculating depreciation for a sample of non-current assets</w:t>
      </w:r>
      <w:r>
        <w:t xml:space="preserve"/>
      </w:r>
    </w:p>
    <w:p>
      <w:pPr>
        <w:shd w:fill="E7F3E8" w:val="clear"/>
        <w:spacing w:after="50" w:line="280"/>
        <w:ind w:left="431"/>
      </w:pPr>
      <w:r>
        <w:rPr>
          <w:rFonts w:ascii="Calibri" w:cs="Calibri" w:eastAsia="Calibri" w:hAnsi="Calibri"/>
          <w:b/>
          <w:bCs/>
          <w:color w:val="2E7D32"/>
          <w:sz w:val="23"/>
          <w:szCs w:val="23"/>
        </w:rPr>
        <w:t xml:space="preserve">B   </w:t>
      </w:r>
      <w:r>
        <w:rPr>
          <w:rFonts w:ascii="Calibri" w:cs="Calibri" w:eastAsia="Calibri" w:hAnsi="Calibri"/>
          <w:b/>
          <w:bCs/>
          <w:color w:val="2E7D32"/>
          <w:sz w:val="23"/>
          <w:szCs w:val="23"/>
        </w:rPr>
        <w:t xml:space="preserve">Observing whether purchase invoices are stamped as approved by a supervisor before payment</w:t>
      </w:r>
      <w:r>
        <w:rPr>
          <w:rFonts w:ascii="Calibri" w:cs="Calibri" w:eastAsia="Calibri" w:hAnsi="Calibri"/>
          <w:b/>
          <w:bCs/>
          <w:color w:val="2E7D32"/>
          <w:sz w:val="23"/>
          <w:szCs w:val="23"/>
        </w:rPr>
        <w:t xml:space="preserve">   ✓</w:t>
      </w:r>
    </w:p>
    <w:p>
      <w:pPr>
        <w:spacing w:after="50" w:line="280"/>
        <w:ind w:left="431"/>
      </w:pPr>
      <w:r>
        <w:rPr>
          <w:rFonts w:ascii="Calibri" w:cs="Calibri" w:eastAsia="Calibri" w:hAnsi="Calibri"/>
          <w:b/>
          <w:bCs/>
          <w:color w:val="5B6472"/>
          <w:sz w:val="23"/>
          <w:szCs w:val="23"/>
        </w:rPr>
        <w:t xml:space="preserve">C   </w:t>
      </w:r>
      <w:r>
        <w:rPr>
          <w:rFonts w:ascii="Calibri" w:cs="Calibri" w:eastAsia="Calibri" w:hAnsi="Calibri"/>
          <w:b w:val="false"/>
          <w:bCs w:val="false"/>
          <w:color w:val="1A1A1A"/>
          <w:sz w:val="23"/>
          <w:szCs w:val="23"/>
        </w:rPr>
        <w:t xml:space="preserve">Sending confirmation letters to a sample of trade receivables</w:t>
      </w:r>
      <w:r>
        <w:t xml:space="preserve"/>
      </w:r>
    </w:p>
    <w:p>
      <w:pPr>
        <w:spacing w:after="50" w:line="280"/>
        <w:ind w:left="431"/>
      </w:pPr>
      <w:r>
        <w:rPr>
          <w:rFonts w:ascii="Calibri" w:cs="Calibri" w:eastAsia="Calibri" w:hAnsi="Calibri"/>
          <w:b/>
          <w:bCs/>
          <w:color w:val="5B6472"/>
          <w:sz w:val="23"/>
          <w:szCs w:val="23"/>
        </w:rPr>
        <w:t xml:space="preserve">D   </w:t>
      </w:r>
      <w:r>
        <w:rPr>
          <w:rFonts w:ascii="Calibri" w:cs="Calibri" w:eastAsia="Calibri" w:hAnsi="Calibri"/>
          <w:b w:val="false"/>
          <w:bCs w:val="false"/>
          <w:color w:val="1A1A1A"/>
          <w:sz w:val="23"/>
          <w:szCs w:val="23"/>
        </w:rPr>
        <w:t xml:space="preserve">Agreeing the cash balance to the bank statement</w:t>
      </w:r>
      <w:r>
        <w:t xml:space="preserve"/>
      </w:r>
    </w:p>
    <w:p>
      <w:pPr>
        <w:spacing w:after="20" w:before="120"/>
      </w:pPr>
      <w:r>
        <w:rPr>
          <w:rFonts w:ascii="Calibri" w:cs="Calibri" w:eastAsia="Calibri" w:hAnsi="Calibri"/>
          <w:b/>
          <w:bCs/>
          <w:color w:val="1F3864"/>
          <w:sz w:val="21"/>
          <w:szCs w:val="21"/>
        </w:rPr>
        <w:t xml:space="preserve">Explanation</w:t>
      </w:r>
    </w:p>
    <w:p>
      <w:pPr>
        <w:spacing w:after="30" w:line="290"/>
      </w:pPr>
      <w:r>
        <w:rPr>
          <w:rFonts w:ascii="Calibri" w:cs="Calibri" w:eastAsia="Calibri" w:hAnsi="Calibri"/>
          <w:i/>
          <w:iCs/>
          <w:color w:val="5B6472"/>
          <w:sz w:val="22"/>
          <w:szCs w:val="22"/>
        </w:rPr>
        <w:t xml:space="preserve">Observing whether an authorisation control (approval stamp) is being applied tests the operation of a control, not the balance itself.</w:t>
      </w:r>
    </w:p>
    <w:p>
      <w:pPr>
        <w:bidi/>
        <w:spacing w:after="280" w:line="310"/>
        <w:jc w:val="right"/>
      </w:pPr>
      <w:r>
        <w:rPr>
          <w:rFonts w:ascii="Arial" w:cs="Arial" w:eastAsia="Arial" w:hAnsi="Arial"/>
          <w:i/>
          <w:iCs/>
          <w:color w:val="5B6472"/>
          <w:sz w:val="23"/>
          <w:szCs w:val="23"/>
        </w:rPr>
        <w:t xml:space="preserve">مراقبة ما إذا كان يتم تطبيق ضابط التفويض (ختم الموافقة) يختبر مدى تشغيل الضابط، وليس الرصيد نفسه.</w:t>
      </w:r>
    </w:p>
    <w:p>
      <w:r>
        <w:br w:type="page"/>
      </w:r>
    </w:p>
    <w:tbl>
      <w:tblPr>
        <w:tblW w:type="pct" w:w="100%"/>
        <w:tblBorders>
          <w:top w:val="none" w:color="14213D" w:sz="0"/>
          <w:left w:val="none" w:color="14213D" w:sz="0"/>
          <w:bottom w:val="none" w:color="14213D" w:sz="0"/>
          <w:right w:val="none" w:color="14213D" w:sz="0"/>
          <w:insideH w:val="none" w:color="14213D" w:sz="0"/>
          <w:insideV w:val="none" w:color="14213D" w:sz="0"/>
        </w:tblBorders>
        <w:tblLayout w:type="fixed"/>
      </w:tblPr>
      <w:tblGrid>
        <w:gridCol w:w="100"/>
      </w:tblGrid>
      <w:tr>
        <w:tc>
          <w:tcPr>
            <w:tcW w:type="pct" w:w="100%"/>
            <w:shd w:fill="14213D" w:val="clear"/>
            <w:tcMar>
              <w:top w:type="dxa" w:w="200"/>
              <w:left w:type="dxa" w:w="300"/>
              <w:bottom w:type="dxa" w:w="200"/>
              <w:right w:type="dxa" w:w="300"/>
            </w:tcMar>
            <w:vAlign w:val="center"/>
          </w:tcPr>
          <w:p>
            <w:pPr>
              <w:spacing w:before="80"/>
              <w:jc w:val="center"/>
            </w:pPr>
            <w:r>
              <w:rPr>
                <w:rFonts w:ascii="Cambria" w:cs="Cambria" w:eastAsia="Cambria" w:hAnsi="Cambria"/>
                <w:b/>
                <w:bCs/>
                <w:color w:val="FFFFFF"/>
                <w:sz w:val="30"/>
                <w:szCs w:val="30"/>
              </w:rPr>
              <w:t xml:space="preserve">✎  AA Mock Exam — Answer Key</w:t>
            </w:r>
          </w:p>
          <w:p>
            <w:pPr>
              <w:bidi/>
              <w:spacing w:after="80" w:before="60"/>
              <w:jc w:val="center"/>
            </w:pPr>
            <w:r>
              <w:rPr>
                <w:rFonts w:ascii="Arial" w:cs="Arial" w:eastAsia="Arial" w:hAnsi="Arial"/>
                <w:b/>
                <w:bCs/>
                <w:color w:val="FFFFFF"/>
                <w:sz w:val="26"/>
                <w:szCs w:val="26"/>
              </w:rPr>
              <w:t xml:space="preserve">مفتاح الإجابات — امتحان AA التجريبي</w:t>
            </w:r>
          </w:p>
        </w:tc>
      </w:tr>
    </w:tbl>
    <w:p>
      <w:pPr>
        <w:spacing w:before="200"/>
      </w:pPr>
    </w:p>
    <w:p>
      <w:pPr>
        <w:spacing w:after="160" w:line="300"/>
      </w:pPr>
      <w:r>
        <w:rPr>
          <w:rFonts w:ascii="Calibri" w:cs="Calibri" w:eastAsia="Calibri" w:hAnsi="Calibri"/>
          <w:sz w:val="25"/>
          <w:szCs w:val="25"/>
        </w:rPr>
        <w:t xml:space="preserve">See explanations printed under each question above.</w:t>
      </w:r>
    </w:p>
    <w:p>
      <w:pPr>
        <w:bidi/>
        <w:spacing w:after="260" w:line="340"/>
        <w:jc w:val="right"/>
      </w:pPr>
      <w:r>
        <w:rPr>
          <w:rFonts w:ascii="Arial" w:cs="Arial" w:eastAsia="Arial" w:hAnsi="Arial"/>
          <w:sz w:val="26"/>
          <w:szCs w:val="26"/>
        </w:rPr>
        <w:t xml:space="preserve">راجع التفسيرات المطبوعة أسفل كل سؤال أعلاه.</w:t>
      </w:r>
    </w:p>
    <w:p>
      <w:r>
        <w:br w:type="page"/>
      </w:r>
    </w:p>
    <w:p>
      <w:r>
        <w:br w:type="page"/>
      </w:r>
    </w:p>
    <w:tbl>
      <w:tblPr>
        <w:tblW w:type="pct" w:w="100%"/>
        <w:tblBorders>
          <w:top w:val="none" w:color="14213D" w:sz="0"/>
          <w:left w:val="none" w:color="14213D" w:sz="0"/>
          <w:bottom w:val="none" w:color="14213D" w:sz="0"/>
          <w:right w:val="none" w:color="14213D" w:sz="0"/>
          <w:insideH w:val="none" w:color="14213D" w:sz="0"/>
          <w:insideV w:val="none" w:color="14213D" w:sz="0"/>
        </w:tblBorders>
        <w:tblLayout w:type="fixed"/>
      </w:tblPr>
      <w:tblGrid>
        <w:gridCol w:w="100"/>
      </w:tblGrid>
      <w:tr>
        <w:trPr>
          <w:trHeight w:val="4608" w:hRule="atLeast"/>
        </w:trPr>
        <w:tc>
          <w:tcPr>
            <w:tcW w:type="pct" w:w="100%"/>
            <w:shd w:fill="14213D" w:val="clear"/>
            <w:tcMar>
              <w:top w:type="dxa" w:w="200"/>
              <w:left w:type="dxa" w:w="300"/>
              <w:bottom w:type="dxa" w:w="200"/>
              <w:right w:type="dxa" w:w="300"/>
            </w:tcMar>
            <w:vAlign w:val="center"/>
          </w:tcPr>
          <w:p>
            <w:pPr>
              <w:spacing w:before="200"/>
              <w:jc w:val="center"/>
            </w:pPr>
            <w:r>
              <w:rPr>
                <w:rFonts w:ascii="Calibri" w:cs="Calibri" w:eastAsia="Calibri" w:hAnsi="Calibri"/>
                <w:b/>
                <w:bCs/>
                <w:color w:val="D9C27E"/>
                <w:sz w:val="24"/>
                <w:szCs w:val="24"/>
              </w:rPr>
              <w:t xml:space="preserve">PART TWO</w:t>
            </w:r>
          </w:p>
          <w:p>
            <w:pPr>
              <w:bidi/>
              <w:spacing w:before="40"/>
              <w:jc w:val="center"/>
            </w:pPr>
            <w:r>
              <w:rPr>
                <w:rFonts w:ascii="Arial" w:cs="Arial" w:eastAsia="Arial" w:hAnsi="Arial"/>
                <w:b/>
                <w:bCs/>
                <w:color w:val="D9C27E"/>
                <w:sz w:val="22"/>
                <w:szCs w:val="22"/>
              </w:rPr>
              <w:t xml:space="preserve">الجزء الثاني</w:t>
            </w:r>
          </w:p>
          <w:p>
            <w:pPr>
              <w:spacing w:before="260"/>
              <w:jc w:val="center"/>
            </w:pPr>
            <w:r>
              <w:rPr>
                <w:rFonts w:ascii="Cambria" w:cs="Cambria" w:eastAsia="Cambria" w:hAnsi="Cambria"/>
                <w:b/>
                <w:bCs/>
                <w:color w:val="FFFFFF"/>
                <w:sz w:val="46"/>
                <w:szCs w:val="46"/>
              </w:rPr>
              <w:t xml:space="preserve">AAA — Advanced Audit and Assurance</w:t>
            </w:r>
          </w:p>
          <w:p>
            <w:pPr>
              <w:bidi/>
              <w:spacing w:after="200" w:before="100"/>
              <w:jc w:val="center"/>
            </w:pPr>
            <w:r>
              <w:rPr>
                <w:rFonts w:ascii="Arial" w:cs="Arial" w:eastAsia="Arial" w:hAnsi="Arial"/>
                <w:b/>
                <w:bCs/>
                <w:color w:val="FFFFFF"/>
                <w:sz w:val="34"/>
                <w:szCs w:val="34"/>
              </w:rPr>
              <w:t xml:space="preserve">AAA — التدقيق المتقدم والضمان</w:t>
            </w:r>
          </w:p>
        </w:tc>
      </w:tr>
    </w:tbl>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A: Regulatory Environment</w:t>
      </w:r>
    </w:p>
    <w:p>
      <w:pPr>
        <w:bidi/>
        <w:spacing w:after="180"/>
        <w:jc w:val="right"/>
      </w:pPr>
      <w:r>
        <w:rPr>
          <w:rFonts w:ascii="Arial" w:cs="Arial" w:eastAsia="Arial" w:hAnsi="Arial"/>
          <w:b/>
          <w:bCs/>
          <w:color w:val="1F3864"/>
          <w:sz w:val="24"/>
          <w:szCs w:val="24"/>
        </w:rPr>
        <w:t xml:space="preserve">القسم أ: البيئة التنظيمية</w:t>
      </w:r>
    </w:p>
    <w:p>
      <w:pPr>
        <w:spacing w:after="160" w:line="300"/>
      </w:pPr>
      <w:r>
        <w:rPr>
          <w:rFonts w:ascii="Calibri" w:cs="Calibri" w:eastAsia="Calibri" w:hAnsi="Calibri"/>
          <w:sz w:val="25"/>
          <w:szCs w:val="25"/>
        </w:rPr>
        <w:t xml:space="preserve">AAA builds on AA's regulatory foundations, focusing on the international framework of auditing (IAASB, ISAs) and quality management standards. It expects candidates to apply, not just recall, these standards to complex scenarios.</w:t>
      </w:r>
    </w:p>
    <w:p>
      <w:pPr>
        <w:bidi/>
        <w:spacing w:after="260" w:line="340"/>
        <w:jc w:val="right"/>
      </w:pPr>
      <w:r>
        <w:rPr>
          <w:rFonts w:ascii="Arial" w:cs="Arial" w:eastAsia="Arial" w:hAnsi="Arial"/>
          <w:sz w:val="26"/>
          <w:szCs w:val="26"/>
        </w:rPr>
        <w:t xml:space="preserve">تبني مادة AAA على الأسس التنظيمية لمادة AA، مع التركيز على الإطار الدولي للتدقيق (مجلس المعايير الدولية للتدقيق والتأكيد IAASB، ومعايير ISA) ومعايير إدارة الجودة. وتتطلب من المرشح تطبيق هذه المعايير على سيناريوهات معقدة، لا مجرد استرجاعها.</w:t>
      </w:r>
    </w:p>
    <w:p>
      <w:pPr>
        <w:pStyle w:val="Heading2"/>
        <w:pBdr>
          <w:left w:val="single" w:color="1F3864" w:sz="24" w:space="8"/>
        </w:pBdr>
        <w:spacing w:after="40" w:before="340"/>
        <w:ind w:left="120"/>
      </w:pPr>
      <w:r>
        <w:rPr>
          <w:rFonts w:ascii="Cambria" w:cs="Cambria" w:eastAsia="Cambria" w:hAnsi="Cambria"/>
          <w:b/>
          <w:bCs/>
          <w:color w:val="1F3864"/>
        </w:rPr>
        <w:t xml:space="preserve">ISQM 1 and ISQM 2 — Quality Management</w:t>
      </w:r>
    </w:p>
    <w:p>
      <w:pPr>
        <w:bidi/>
        <w:spacing w:after="180"/>
        <w:jc w:val="right"/>
      </w:pPr>
      <w:r>
        <w:rPr>
          <w:rFonts w:ascii="Arial" w:cs="Arial" w:eastAsia="Arial" w:hAnsi="Arial"/>
          <w:b/>
          <w:bCs/>
          <w:color w:val="1F3864"/>
          <w:sz w:val="24"/>
          <w:szCs w:val="24"/>
        </w:rPr>
        <w:t xml:space="preserve">معيار ISQM 1 وISQM 2 — إدارة الجودة</w:t>
      </w:r>
    </w:p>
    <w:p>
      <w:pPr>
        <w:pStyle w:val="ListParagraph"/>
        <w:numPr>
          <w:ilvl w:val="0"/>
          <w:numId w:val="2"/>
        </w:numPr>
        <w:spacing w:after="60" w:line="300"/>
      </w:pPr>
      <w:r>
        <w:rPr>
          <w:rFonts w:ascii="Calibri" w:cs="Calibri" w:eastAsia="Calibri" w:hAnsi="Calibri"/>
          <w:sz w:val="23"/>
          <w:szCs w:val="23"/>
        </w:rPr>
        <w:t xml:space="preserve">ISQM 1 requires firms to design, implement, and operate a system of quality management covering risk assessment, governance, resources, engagement performance, and monitoring/remediation.</w:t>
      </w:r>
    </w:p>
    <w:p>
      <w:pPr>
        <w:pStyle w:val="ListParagraph"/>
        <w:numPr>
          <w:ilvl w:val="0"/>
          <w:numId w:val="2"/>
        </w:numPr>
        <w:bidi/>
        <w:spacing w:after="170" w:line="320"/>
        <w:jc w:val="right"/>
      </w:pPr>
      <w:r>
        <w:rPr>
          <w:rFonts w:ascii="Arial" w:cs="Arial" w:eastAsia="Arial" w:hAnsi="Arial"/>
          <w:color w:val="5B6472"/>
          <w:sz w:val="24"/>
          <w:szCs w:val="24"/>
        </w:rPr>
        <w:t xml:space="preserve">يتطلب معيار ISQM 1 من المكاتب تصميم وتنفيذ وتشغيل نظام لإدارة الجودة يشمل تقييم المخاطر والحوكمة والموارد وأداء المهمة والمراقبة والمعالجة.</w:t>
      </w:r>
    </w:p>
    <w:p>
      <w:pPr>
        <w:pStyle w:val="ListParagraph"/>
        <w:numPr>
          <w:ilvl w:val="0"/>
          <w:numId w:val="2"/>
        </w:numPr>
        <w:spacing w:after="60" w:line="300"/>
      </w:pPr>
      <w:r>
        <w:rPr>
          <w:rFonts w:ascii="Calibri" w:cs="Calibri" w:eastAsia="Calibri" w:hAnsi="Calibri"/>
          <w:sz w:val="23"/>
          <w:szCs w:val="23"/>
        </w:rPr>
        <w:t xml:space="preserve">ISQM 2 governs the appointment and objectivity of the engagement quality reviewer (EQR) on relevant engagements (e.g. listed entity audits).</w:t>
      </w:r>
    </w:p>
    <w:p>
      <w:pPr>
        <w:pStyle w:val="ListParagraph"/>
        <w:numPr>
          <w:ilvl w:val="0"/>
          <w:numId w:val="2"/>
        </w:numPr>
        <w:bidi/>
        <w:spacing w:after="170" w:line="320"/>
        <w:jc w:val="right"/>
      </w:pPr>
      <w:r>
        <w:rPr>
          <w:rFonts w:ascii="Arial" w:cs="Arial" w:eastAsia="Arial" w:hAnsi="Arial"/>
          <w:color w:val="5B6472"/>
          <w:sz w:val="24"/>
          <w:szCs w:val="24"/>
        </w:rPr>
        <w:t xml:space="preserve">يحكم معيار ISQM 2 تعيين وموضوعية مراجع جودة المهمة (EQR) في المهام ذات الصلة (كتدقيق الشركات المدرجة).</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B: Professional and Ethical Considerations</w:t>
      </w:r>
    </w:p>
    <w:p>
      <w:pPr>
        <w:bidi/>
        <w:spacing w:after="180"/>
        <w:jc w:val="right"/>
      </w:pPr>
      <w:r>
        <w:rPr>
          <w:rFonts w:ascii="Arial" w:cs="Arial" w:eastAsia="Arial" w:hAnsi="Arial"/>
          <w:b/>
          <w:bCs/>
          <w:color w:val="1F3864"/>
          <w:sz w:val="24"/>
          <w:szCs w:val="24"/>
        </w:rPr>
        <w:t xml:space="preserve">القسم ب: الاعتبارات المهنية والأخلاقية</w:t>
      </w:r>
    </w:p>
    <w:p>
      <w:pPr>
        <w:spacing w:after="160" w:line="300"/>
      </w:pPr>
      <w:r>
        <w:rPr>
          <w:rFonts w:ascii="Calibri" w:cs="Calibri" w:eastAsia="Calibri" w:hAnsi="Calibri"/>
          <w:sz w:val="25"/>
          <w:szCs w:val="25"/>
        </w:rPr>
        <w:t xml:space="preserve">At AAA level, ethics questions are scenario-based: candidates must identify specific threats in a case, explain why they arise, and recommend practical safeguards — generic definitions score few marks.</w:t>
      </w:r>
    </w:p>
    <w:p>
      <w:pPr>
        <w:bidi/>
        <w:spacing w:after="260" w:line="340"/>
        <w:jc w:val="right"/>
      </w:pPr>
      <w:r>
        <w:rPr>
          <w:rFonts w:ascii="Arial" w:cs="Arial" w:eastAsia="Arial" w:hAnsi="Arial"/>
          <w:sz w:val="26"/>
          <w:szCs w:val="26"/>
        </w:rPr>
        <w:t xml:space="preserve">في مستوى AAA، تكون أسئلة الأخلاقيات مبنية على سيناريوهات: يجب على المرشح تحديد التهديدات المحددة في الحالة، وشرح سبب نشوئها، واقتراح إجراءات وقائية عملية — والتعريفات العامة لا تحصل إلا على درجات قليلة.</w:t>
      </w:r>
    </w:p>
    <w:p>
      <w:pPr>
        <w:pStyle w:val="ListParagraph"/>
        <w:numPr>
          <w:ilvl w:val="0"/>
          <w:numId w:val="2"/>
        </w:numPr>
        <w:spacing w:after="60" w:line="300"/>
      </w:pPr>
      <w:r>
        <w:rPr>
          <w:rFonts w:ascii="Calibri" w:cs="Calibri" w:eastAsia="Calibri" w:hAnsi="Calibri"/>
          <w:sz w:val="23"/>
          <w:szCs w:val="23"/>
        </w:rPr>
        <w:t xml:space="preserve">Conflicts of interest — between two clients, or between the firm and a client; disclose and obtain consent, or use separate teams/information barriers.</w:t>
      </w:r>
    </w:p>
    <w:p>
      <w:pPr>
        <w:pStyle w:val="ListParagraph"/>
        <w:numPr>
          <w:ilvl w:val="0"/>
          <w:numId w:val="2"/>
        </w:numPr>
        <w:bidi/>
        <w:spacing w:after="170" w:line="320"/>
        <w:jc w:val="right"/>
      </w:pPr>
      <w:r>
        <w:rPr>
          <w:rFonts w:ascii="Arial" w:cs="Arial" w:eastAsia="Arial" w:hAnsi="Arial"/>
          <w:color w:val="5B6472"/>
          <w:sz w:val="24"/>
          <w:szCs w:val="24"/>
        </w:rPr>
        <w:t xml:space="preserve">تعارض المصالح — بين عميلين، أو بين المكتب والعميل؛ يُفصح عنه ويُطلب موافقة، أو تُستخدم فرق منفصلة/حواجز معلوماتية.</w:t>
      </w:r>
    </w:p>
    <w:p>
      <w:pPr>
        <w:pStyle w:val="ListParagraph"/>
        <w:numPr>
          <w:ilvl w:val="0"/>
          <w:numId w:val="2"/>
        </w:numPr>
        <w:spacing w:after="60" w:line="300"/>
      </w:pPr>
      <w:r>
        <w:rPr>
          <w:rFonts w:ascii="Calibri" w:cs="Calibri" w:eastAsia="Calibri" w:hAnsi="Calibri"/>
          <w:sz w:val="23"/>
          <w:szCs w:val="23"/>
        </w:rPr>
        <w:t xml:space="preserve">Non-audit services (e.g. tax, valuation, IT systems) for audit clients — assess self-review, advocacy, and management-involvement threats before accepting.</w:t>
      </w:r>
    </w:p>
    <w:p>
      <w:pPr>
        <w:pStyle w:val="ListParagraph"/>
        <w:numPr>
          <w:ilvl w:val="0"/>
          <w:numId w:val="2"/>
        </w:numPr>
        <w:bidi/>
        <w:spacing w:after="170" w:line="320"/>
        <w:jc w:val="right"/>
      </w:pPr>
      <w:r>
        <w:rPr>
          <w:rFonts w:ascii="Arial" w:cs="Arial" w:eastAsia="Arial" w:hAnsi="Arial"/>
          <w:color w:val="5B6472"/>
          <w:sz w:val="24"/>
          <w:szCs w:val="24"/>
        </w:rPr>
        <w:t xml:space="preserve">الخدمات غير التدقيقية (كالضرائب والتقييم وأنظمة تقنية المعلومات) لعملاء التدقيق — يجب تقييم تهديدات المراجعة الذاتية والمناصرة والمشاركة في قرارات الإدارة قبل القبول.</w:t>
      </w:r>
    </w:p>
    <w:p>
      <w:pPr>
        <w:pStyle w:val="ListParagraph"/>
        <w:numPr>
          <w:ilvl w:val="0"/>
          <w:numId w:val="2"/>
        </w:numPr>
        <w:spacing w:after="60" w:line="300"/>
      </w:pPr>
      <w:r>
        <w:rPr>
          <w:rFonts w:ascii="Calibri" w:cs="Calibri" w:eastAsia="Calibri" w:hAnsi="Calibri"/>
          <w:sz w:val="23"/>
          <w:szCs w:val="23"/>
        </w:rPr>
        <w:t xml:space="preserve">Professional liability — disclaimers, liability caps in engagement letters, and professional indemnity insurance are common risk-management tools (not a substitute for competent work).</w:t>
      </w:r>
    </w:p>
    <w:p>
      <w:pPr>
        <w:pStyle w:val="ListParagraph"/>
        <w:numPr>
          <w:ilvl w:val="0"/>
          <w:numId w:val="2"/>
        </w:numPr>
        <w:bidi/>
        <w:spacing w:after="170" w:line="320"/>
        <w:jc w:val="right"/>
      </w:pPr>
      <w:r>
        <w:rPr>
          <w:rFonts w:ascii="Arial" w:cs="Arial" w:eastAsia="Arial" w:hAnsi="Arial"/>
          <w:color w:val="5B6472"/>
          <w:sz w:val="24"/>
          <w:szCs w:val="24"/>
        </w:rPr>
        <w:t xml:space="preserve">المسؤولية المهنية — إخلاءات المسؤولية، وسقوف المسؤولية في خطابات التعاقد، والتأمين ضد المسؤولية المهنية أدوات شائعة لإدارة المخاطر (وليست بديلاً عن العمل الكفؤ).</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C: Quality Control and Practice Management</w:t>
      </w:r>
    </w:p>
    <w:p>
      <w:pPr>
        <w:bidi/>
        <w:spacing w:after="180"/>
        <w:jc w:val="right"/>
      </w:pPr>
      <w:r>
        <w:rPr>
          <w:rFonts w:ascii="Arial" w:cs="Arial" w:eastAsia="Arial" w:hAnsi="Arial"/>
          <w:b/>
          <w:bCs/>
          <w:color w:val="1F3864"/>
          <w:sz w:val="24"/>
          <w:szCs w:val="24"/>
        </w:rPr>
        <w:t xml:space="preserve">القسم ج: ضبط الجودة وإدارة الممارسة المهنية</w:t>
      </w:r>
    </w:p>
    <w:p>
      <w:pPr>
        <w:pStyle w:val="ListParagraph"/>
        <w:numPr>
          <w:ilvl w:val="0"/>
          <w:numId w:val="2"/>
        </w:numPr>
        <w:spacing w:after="60" w:line="300"/>
      </w:pPr>
      <w:r>
        <w:rPr>
          <w:rFonts w:ascii="Calibri" w:cs="Calibri" w:eastAsia="Calibri" w:hAnsi="Calibri"/>
          <w:sz w:val="23"/>
          <w:szCs w:val="23"/>
        </w:rPr>
        <w:t xml:space="preserve">Tendering — when pitching for a new audit client, firms must assess independence and competence before submitting a proposal; low-balling (bidding below cost to win the client) is acceptable only if the firm can still perform the audit to the required standard.</w:t>
      </w:r>
    </w:p>
    <w:p>
      <w:pPr>
        <w:pStyle w:val="ListParagraph"/>
        <w:numPr>
          <w:ilvl w:val="0"/>
          <w:numId w:val="2"/>
        </w:numPr>
        <w:bidi/>
        <w:spacing w:after="170" w:line="320"/>
        <w:jc w:val="right"/>
      </w:pPr>
      <w:r>
        <w:rPr>
          <w:rFonts w:ascii="Arial" w:cs="Arial" w:eastAsia="Arial" w:hAnsi="Arial"/>
          <w:color w:val="5B6472"/>
          <w:sz w:val="24"/>
          <w:szCs w:val="24"/>
        </w:rPr>
        <w:t xml:space="preserve">تقديم العروض (Tendering) — عند التقدم للحصول على عميل تدقيق جديد، يجب على المكتب تقييم الاستقلالية والكفاءة قبل تقديم العرض؛ ويكون التسعير المنخفض (Low-balling) مقبولاً فقط إذا استطاع المكتب تنفيذ التدقيق وفق المعايير المطلوبة رغم ذلك.</w:t>
      </w:r>
    </w:p>
    <w:p>
      <w:pPr>
        <w:pStyle w:val="ListParagraph"/>
        <w:numPr>
          <w:ilvl w:val="0"/>
          <w:numId w:val="2"/>
        </w:numPr>
        <w:spacing w:after="60" w:line="300"/>
      </w:pPr>
      <w:r>
        <w:rPr>
          <w:rFonts w:ascii="Calibri" w:cs="Calibri" w:eastAsia="Calibri" w:hAnsi="Calibri"/>
          <w:sz w:val="23"/>
          <w:szCs w:val="23"/>
        </w:rPr>
        <w:t xml:space="preserve">Engagement letters — should be reissued/updated when the scope, terms, or management changes materially, not just at first appointment.</w:t>
      </w:r>
    </w:p>
    <w:p>
      <w:pPr>
        <w:pStyle w:val="ListParagraph"/>
        <w:numPr>
          <w:ilvl w:val="0"/>
          <w:numId w:val="2"/>
        </w:numPr>
        <w:bidi/>
        <w:spacing w:after="170" w:line="320"/>
        <w:jc w:val="right"/>
      </w:pPr>
      <w:r>
        <w:rPr>
          <w:rFonts w:ascii="Arial" w:cs="Arial" w:eastAsia="Arial" w:hAnsi="Arial"/>
          <w:color w:val="5B6472"/>
          <w:sz w:val="24"/>
          <w:szCs w:val="24"/>
        </w:rPr>
        <w:t xml:space="preserve">خطابات التعاقد — يجب إعادة إصدارها أو تحديثها عند حدوث تغيير جوهري في النطاق أو الشروط أو الإدارة، وليس فقط عند التعيين الأول.</w:t>
      </w:r>
    </w:p>
    <w:p>
      <w:pPr>
        <w:pStyle w:val="ListParagraph"/>
        <w:numPr>
          <w:ilvl w:val="0"/>
          <w:numId w:val="2"/>
        </w:numPr>
        <w:spacing w:after="60" w:line="300"/>
      </w:pPr>
      <w:r>
        <w:rPr>
          <w:rFonts w:ascii="Calibri" w:cs="Calibri" w:eastAsia="Calibri" w:hAnsi="Calibri"/>
          <w:sz w:val="23"/>
          <w:szCs w:val="23"/>
        </w:rPr>
        <w:t xml:space="preserve">Fee negotiation — fees should reflect the time, skill, and risk of the engagement; contingent fees are prohibited for audit engagements.</w:t>
      </w:r>
    </w:p>
    <w:p>
      <w:pPr>
        <w:pStyle w:val="ListParagraph"/>
        <w:numPr>
          <w:ilvl w:val="0"/>
          <w:numId w:val="2"/>
        </w:numPr>
        <w:bidi/>
        <w:spacing w:after="170" w:line="320"/>
        <w:jc w:val="right"/>
      </w:pPr>
      <w:r>
        <w:rPr>
          <w:rFonts w:ascii="Arial" w:cs="Arial" w:eastAsia="Arial" w:hAnsi="Arial"/>
          <w:color w:val="5B6472"/>
          <w:sz w:val="24"/>
          <w:szCs w:val="24"/>
        </w:rPr>
        <w:t xml:space="preserve">التفاوض على الأتعاب — يجب أن تعكس الأتعاب الوقت والمهارة والمخاطر المرتبطة بالمهمة؛ وتُحظر الأتعاب المشروطة بالنتيجة في مهام التدقيق.</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D: Planning and Conducting an Audit</w:t>
      </w:r>
    </w:p>
    <w:p>
      <w:pPr>
        <w:bidi/>
        <w:spacing w:after="180"/>
        <w:jc w:val="right"/>
      </w:pPr>
      <w:r>
        <w:rPr>
          <w:rFonts w:ascii="Arial" w:cs="Arial" w:eastAsia="Arial" w:hAnsi="Arial"/>
          <w:b/>
          <w:bCs/>
          <w:color w:val="1F3864"/>
          <w:sz w:val="24"/>
          <w:szCs w:val="24"/>
        </w:rPr>
        <w:t xml:space="preserve">القسم د: تخطيط وتنفيذ التدقيق</w:t>
      </w:r>
    </w:p>
    <w:p>
      <w:pPr>
        <w:pStyle w:val="Heading2"/>
        <w:pBdr>
          <w:left w:val="single" w:color="1F3864" w:sz="24" w:space="8"/>
        </w:pBdr>
        <w:spacing w:after="40" w:before="340"/>
        <w:ind w:left="120"/>
      </w:pPr>
      <w:r>
        <w:rPr>
          <w:rFonts w:ascii="Cambria" w:cs="Cambria" w:eastAsia="Cambria" w:hAnsi="Cambria"/>
          <w:b/>
          <w:bCs/>
          <w:color w:val="1F3864"/>
        </w:rPr>
        <w:t xml:space="preserve">Group Audits (ISA 600)</w:t>
      </w:r>
    </w:p>
    <w:p>
      <w:pPr>
        <w:bidi/>
        <w:spacing w:after="180"/>
        <w:jc w:val="right"/>
      </w:pPr>
      <w:r>
        <w:rPr>
          <w:rFonts w:ascii="Arial" w:cs="Arial" w:eastAsia="Arial" w:hAnsi="Arial"/>
          <w:b/>
          <w:bCs/>
          <w:color w:val="1F3864"/>
          <w:sz w:val="24"/>
          <w:szCs w:val="24"/>
        </w:rPr>
        <w:t xml:space="preserve">تدقيق المجموعات (ISA 600)</w:t>
      </w:r>
    </w:p>
    <w:p>
      <w:pPr>
        <w:pStyle w:val="ListParagraph"/>
        <w:numPr>
          <w:ilvl w:val="0"/>
          <w:numId w:val="2"/>
        </w:numPr>
        <w:spacing w:after="60" w:line="300"/>
      </w:pPr>
      <w:r>
        <w:rPr>
          <w:rFonts w:ascii="Calibri" w:cs="Calibri" w:eastAsia="Calibri" w:hAnsi="Calibri"/>
          <w:sz w:val="23"/>
          <w:szCs w:val="23"/>
        </w:rPr>
        <w:t xml:space="preserve">The group engagement partner is responsible for the group audit opinion, even where component auditors perform work on subsidiaries.</w:t>
      </w:r>
    </w:p>
    <w:p>
      <w:pPr>
        <w:pStyle w:val="ListParagraph"/>
        <w:numPr>
          <w:ilvl w:val="0"/>
          <w:numId w:val="2"/>
        </w:numPr>
        <w:bidi/>
        <w:spacing w:after="170" w:line="320"/>
        <w:jc w:val="right"/>
      </w:pPr>
      <w:r>
        <w:rPr>
          <w:rFonts w:ascii="Arial" w:cs="Arial" w:eastAsia="Arial" w:hAnsi="Arial"/>
          <w:color w:val="5B6472"/>
          <w:sz w:val="24"/>
          <w:szCs w:val="24"/>
        </w:rPr>
        <w:t xml:space="preserve">يتحمل الشريك المسؤول عن تدقيق المجموعة مسؤولية الرأي على مستوى المجموعة، حتى عندما ينفذ مدققو المكونات (الشركات التابعة) العمل بأنفسهم.</w:t>
      </w:r>
    </w:p>
    <w:p>
      <w:pPr>
        <w:pStyle w:val="ListParagraph"/>
        <w:numPr>
          <w:ilvl w:val="0"/>
          <w:numId w:val="2"/>
        </w:numPr>
        <w:spacing w:after="60" w:line="300"/>
      </w:pPr>
      <w:r>
        <w:rPr>
          <w:rFonts w:ascii="Calibri" w:cs="Calibri" w:eastAsia="Calibri" w:hAnsi="Calibri"/>
          <w:sz w:val="23"/>
          <w:szCs w:val="23"/>
        </w:rPr>
        <w:t xml:space="preserve">The group auditor determines component materiality (usually lower than group materiality) and must be involved in, and evaluate, the work of component auditors, especially for significant components.</w:t>
      </w:r>
    </w:p>
    <w:p>
      <w:pPr>
        <w:pStyle w:val="ListParagraph"/>
        <w:numPr>
          <w:ilvl w:val="0"/>
          <w:numId w:val="2"/>
        </w:numPr>
        <w:bidi/>
        <w:spacing w:after="170" w:line="320"/>
        <w:jc w:val="right"/>
      </w:pPr>
      <w:r>
        <w:rPr>
          <w:rFonts w:ascii="Arial" w:cs="Arial" w:eastAsia="Arial" w:hAnsi="Arial"/>
          <w:color w:val="5B6472"/>
          <w:sz w:val="24"/>
          <w:szCs w:val="24"/>
        </w:rPr>
        <w:t xml:space="preserve">يحدد مدقق المجموعة الأهمية النسبية لكل مكوّن (عادة أقل من أهمية المجموعة)، ويجب أن يشارك في تقييم عمل مدققي المكونات، خاصة المكونات ذات الأهمية.</w:t>
      </w:r>
    </w:p>
    <w:p>
      <w:pPr>
        <w:pStyle w:val="Heading2"/>
        <w:pBdr>
          <w:left w:val="single" w:color="1F3864" w:sz="24" w:space="8"/>
        </w:pBdr>
        <w:spacing w:after="40" w:before="340"/>
        <w:ind w:left="120"/>
      </w:pPr>
      <w:r>
        <w:rPr>
          <w:rFonts w:ascii="Cambria" w:cs="Cambria" w:eastAsia="Cambria" w:hAnsi="Cambria"/>
          <w:b/>
          <w:bCs/>
          <w:color w:val="1F3864"/>
        </w:rPr>
        <w:t xml:space="preserve">Group and Complex Entity Risks</w:t>
      </w:r>
    </w:p>
    <w:p>
      <w:pPr>
        <w:bidi/>
        <w:spacing w:after="180"/>
        <w:jc w:val="right"/>
      </w:pPr>
      <w:r>
        <w:rPr>
          <w:rFonts w:ascii="Arial" w:cs="Arial" w:eastAsia="Arial" w:hAnsi="Arial"/>
          <w:b/>
          <w:bCs/>
          <w:color w:val="1F3864"/>
          <w:sz w:val="24"/>
          <w:szCs w:val="24"/>
        </w:rPr>
        <w:t xml:space="preserve">مخاطر المجموعات والمنشآت المعقدة</w:t>
      </w:r>
    </w:p>
    <w:p>
      <w:pPr>
        <w:pStyle w:val="ListParagraph"/>
        <w:numPr>
          <w:ilvl w:val="0"/>
          <w:numId w:val="2"/>
        </w:numPr>
        <w:spacing w:after="60" w:line="300"/>
      </w:pPr>
      <w:r>
        <w:rPr>
          <w:rFonts w:ascii="Calibri" w:cs="Calibri" w:eastAsia="Calibri" w:hAnsi="Calibri"/>
          <w:sz w:val="23"/>
          <w:szCs w:val="23"/>
        </w:rPr>
        <w:t xml:space="preserve">Consolidation adjustments (elimination of intercompany balances/transactions, non-controlling interests, goodwill and impairment) are a major source of risk.</w:t>
      </w:r>
    </w:p>
    <w:p>
      <w:pPr>
        <w:pStyle w:val="ListParagraph"/>
        <w:numPr>
          <w:ilvl w:val="0"/>
          <w:numId w:val="2"/>
        </w:numPr>
        <w:bidi/>
        <w:spacing w:after="170" w:line="320"/>
        <w:jc w:val="right"/>
      </w:pPr>
      <w:r>
        <w:rPr>
          <w:rFonts w:ascii="Arial" w:cs="Arial" w:eastAsia="Arial" w:hAnsi="Arial"/>
          <w:color w:val="5B6472"/>
          <w:sz w:val="24"/>
          <w:szCs w:val="24"/>
        </w:rPr>
        <w:t xml:space="preserve">تعديلات التوحيد (استبعاد الأرصدة والمعاملات بين الشركات، حقوق الأقلية، الشهرة وانخفاض قيمتها) مصدر رئيسي للمخاطر.</w:t>
      </w:r>
    </w:p>
    <w:p>
      <w:pPr>
        <w:pStyle w:val="ListParagraph"/>
        <w:numPr>
          <w:ilvl w:val="0"/>
          <w:numId w:val="2"/>
        </w:numPr>
        <w:spacing w:after="60" w:line="300"/>
      </w:pPr>
      <w:r>
        <w:rPr>
          <w:rFonts w:ascii="Calibri" w:cs="Calibri" w:eastAsia="Calibri" w:hAnsi="Calibri"/>
          <w:sz w:val="23"/>
          <w:szCs w:val="23"/>
        </w:rPr>
        <w:t xml:space="preserve">Different reporting dates, accounting policies, or currencies across group entities increase audit complexity.</w:t>
      </w:r>
    </w:p>
    <w:p>
      <w:pPr>
        <w:pStyle w:val="ListParagraph"/>
        <w:numPr>
          <w:ilvl w:val="0"/>
          <w:numId w:val="2"/>
        </w:numPr>
        <w:bidi/>
        <w:spacing w:after="170" w:line="320"/>
        <w:jc w:val="right"/>
      </w:pPr>
      <w:r>
        <w:rPr>
          <w:rFonts w:ascii="Arial" w:cs="Arial" w:eastAsia="Arial" w:hAnsi="Arial"/>
          <w:color w:val="5B6472"/>
          <w:sz w:val="24"/>
          <w:szCs w:val="24"/>
        </w:rPr>
        <w:t xml:space="preserve">اختلاف تواريخ التقارير أو السياسات المحاسبية أو العملات بين شركات المجموعة يزيد من تعقيد التدقيق.</w:t>
      </w:r>
    </w:p>
    <w:p>
      <w:pPr>
        <w:pStyle w:val="Heading2"/>
        <w:pBdr>
          <w:left w:val="single" w:color="1F3864" w:sz="24" w:space="8"/>
        </w:pBdr>
        <w:spacing w:after="40" w:before="340"/>
        <w:ind w:left="120"/>
      </w:pPr>
      <w:r>
        <w:rPr>
          <w:rFonts w:ascii="Cambria" w:cs="Cambria" w:eastAsia="Cambria" w:hAnsi="Cambria"/>
          <w:b/>
          <w:bCs/>
          <w:color w:val="1F3864"/>
        </w:rPr>
        <w:t xml:space="preserve">Auditor's Experts (ISA 620)</w:t>
      </w:r>
    </w:p>
    <w:p>
      <w:pPr>
        <w:bidi/>
        <w:spacing w:after="180"/>
        <w:jc w:val="right"/>
      </w:pPr>
      <w:r>
        <w:rPr>
          <w:rFonts w:ascii="Arial" w:cs="Arial" w:eastAsia="Arial" w:hAnsi="Arial"/>
          <w:b/>
          <w:bCs/>
          <w:color w:val="1F3864"/>
          <w:sz w:val="24"/>
          <w:szCs w:val="24"/>
        </w:rPr>
        <w:t xml:space="preserve">خبراء المدقق (ISA 620)</w:t>
      </w:r>
    </w:p>
    <w:p>
      <w:pPr>
        <w:spacing w:after="160" w:line="300"/>
      </w:pPr>
      <w:r>
        <w:rPr>
          <w:rFonts w:ascii="Calibri" w:cs="Calibri" w:eastAsia="Calibri" w:hAnsi="Calibri"/>
          <w:sz w:val="25"/>
          <w:szCs w:val="25"/>
        </w:rPr>
        <w:t xml:space="preserve">When specialised skill is needed (e.g. property valuation, actuarial calculations, complex IT), the auditor may use an auditor's expert. The auditor must evaluate the expert's competence, capabilities, and objectivity, and the adequacy of the expert's work — responsibility for the opinion is never delegated to the expert.</w:t>
      </w:r>
    </w:p>
    <w:p>
      <w:pPr>
        <w:bidi/>
        <w:spacing w:after="260" w:line="340"/>
        <w:jc w:val="right"/>
      </w:pPr>
      <w:r>
        <w:rPr>
          <w:rFonts w:ascii="Arial" w:cs="Arial" w:eastAsia="Arial" w:hAnsi="Arial"/>
          <w:sz w:val="26"/>
          <w:szCs w:val="26"/>
        </w:rPr>
        <w:t xml:space="preserve">عندما تُطلب مهارة متخصصة (كتقييم العقارات، الحسابات الاكتوارية، أنظمة تقنية المعلومات المعقدة)، يمكن للمدقق الاستعانة بخبير. يجب على المدقق تقييم كفاءة الخبير وقدراته وموضوعيته، وكفاية عمله — ولا تُفوَّض مسؤولية الرأي أبداً للخبير.</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E: Completion, Review and Reporting</w:t>
      </w:r>
    </w:p>
    <w:p>
      <w:pPr>
        <w:bidi/>
        <w:spacing w:after="180"/>
        <w:jc w:val="right"/>
      </w:pPr>
      <w:r>
        <w:rPr>
          <w:rFonts w:ascii="Arial" w:cs="Arial" w:eastAsia="Arial" w:hAnsi="Arial"/>
          <w:b/>
          <w:bCs/>
          <w:color w:val="1F3864"/>
          <w:sz w:val="24"/>
          <w:szCs w:val="24"/>
        </w:rPr>
        <w:t xml:space="preserve">القسم هـ: الإنهاء والمراجعة وإعداد التقرير</w:t>
      </w:r>
    </w:p>
    <w:p>
      <w:pPr>
        <w:pStyle w:val="ListParagraph"/>
        <w:numPr>
          <w:ilvl w:val="0"/>
          <w:numId w:val="2"/>
        </w:numPr>
        <w:spacing w:after="60" w:line="300"/>
      </w:pPr>
      <w:r>
        <w:rPr>
          <w:rFonts w:ascii="Calibri" w:cs="Calibri" w:eastAsia="Calibri" w:hAnsi="Calibri"/>
          <w:sz w:val="23"/>
          <w:szCs w:val="23"/>
        </w:rPr>
        <w:t xml:space="preserve">AAA scenarios often present a mix of issues in one entity — candidates should assess each issue separately for materiality/pervasiveness before concluding on the overall opinion.</w:t>
      </w:r>
    </w:p>
    <w:p>
      <w:pPr>
        <w:pStyle w:val="ListParagraph"/>
        <w:numPr>
          <w:ilvl w:val="0"/>
          <w:numId w:val="2"/>
        </w:numPr>
        <w:bidi/>
        <w:spacing w:after="170" w:line="320"/>
        <w:jc w:val="right"/>
      </w:pPr>
      <w:r>
        <w:rPr>
          <w:rFonts w:ascii="Arial" w:cs="Arial" w:eastAsia="Arial" w:hAnsi="Arial"/>
          <w:color w:val="5B6472"/>
          <w:sz w:val="24"/>
          <w:szCs w:val="24"/>
        </w:rPr>
        <w:t xml:space="preserve">غالباً ما تعرض سيناريوهات AAA مجموعة من المشكلات في منشأة واحدة — يجب على المرشح تقييم كل مشكلة على حدة من حيث الجوهرية والانتشار قبل الوصول لاستنتاج حول الرأي الإجمالي.</w:t>
      </w:r>
    </w:p>
    <w:p>
      <w:pPr>
        <w:pStyle w:val="ListParagraph"/>
        <w:numPr>
          <w:ilvl w:val="0"/>
          <w:numId w:val="2"/>
        </w:numPr>
        <w:spacing w:after="60" w:line="300"/>
      </w:pPr>
      <w:r>
        <w:rPr>
          <w:rFonts w:ascii="Calibri" w:cs="Calibri" w:eastAsia="Calibri" w:hAnsi="Calibri"/>
          <w:sz w:val="23"/>
          <w:szCs w:val="23"/>
        </w:rPr>
        <w:t xml:space="preserve">For group audits, an unresolved issue in a significant component can affect the group opinion even if it would not be material to the group on its own — consider whether the group auditor could get sufficient evidence about it.</w:t>
      </w:r>
    </w:p>
    <w:p>
      <w:pPr>
        <w:pStyle w:val="ListParagraph"/>
        <w:numPr>
          <w:ilvl w:val="0"/>
          <w:numId w:val="2"/>
        </w:numPr>
        <w:bidi/>
        <w:spacing w:after="170" w:line="320"/>
        <w:jc w:val="right"/>
      </w:pPr>
      <w:r>
        <w:rPr>
          <w:rFonts w:ascii="Arial" w:cs="Arial" w:eastAsia="Arial" w:hAnsi="Arial"/>
          <w:color w:val="5B6472"/>
          <w:sz w:val="24"/>
          <w:szCs w:val="24"/>
        </w:rPr>
        <w:t xml:space="preserve">في تدقيق المجموعات، قد تؤثر مشكلة لم تُحل في مكوّن مهم على رأي المجموعة حتى لو لم تكن جوهرية على مستوى المجموعة بمفردها — يجب مراعاة ما إذا كان مدقق المجموعة قد حصل على أدلة كافية بشأنها.</w:t>
      </w:r>
    </w:p>
    <w:p>
      <w:pPr>
        <w:pStyle w:val="ListParagraph"/>
        <w:numPr>
          <w:ilvl w:val="0"/>
          <w:numId w:val="2"/>
        </w:numPr>
        <w:spacing w:after="60" w:line="300"/>
      </w:pPr>
      <w:r>
        <w:rPr>
          <w:rFonts w:ascii="Calibri" w:cs="Calibri" w:eastAsia="Calibri" w:hAnsi="Calibri"/>
          <w:sz w:val="23"/>
          <w:szCs w:val="23"/>
        </w:rPr>
        <w:t xml:space="preserve">Reports to management (management letters) at AAA level should link each finding to its implication/risk and a practical recommendation — examiners reward this three-part structure.</w:t>
      </w:r>
    </w:p>
    <w:p>
      <w:pPr>
        <w:pStyle w:val="ListParagraph"/>
        <w:numPr>
          <w:ilvl w:val="0"/>
          <w:numId w:val="2"/>
        </w:numPr>
        <w:bidi/>
        <w:spacing w:after="170" w:line="320"/>
        <w:jc w:val="right"/>
      </w:pPr>
      <w:r>
        <w:rPr>
          <w:rFonts w:ascii="Arial" w:cs="Arial" w:eastAsia="Arial" w:hAnsi="Arial"/>
          <w:color w:val="5B6472"/>
          <w:sz w:val="24"/>
          <w:szCs w:val="24"/>
        </w:rPr>
        <w:t xml:space="preserve">يجب أن تربط تقارير الإدارة (Management Letters) في مستوى AAA كل ملاحظة بأثرها/مخاطرها وبتوصية عملية — ويكافئ ممتحنو ACCA هذا الهيكل الثلاثي.</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F: Other Assignments</w:t>
      </w:r>
    </w:p>
    <w:p>
      <w:pPr>
        <w:bidi/>
        <w:spacing w:after="180"/>
        <w:jc w:val="right"/>
      </w:pPr>
      <w:r>
        <w:rPr>
          <w:rFonts w:ascii="Arial" w:cs="Arial" w:eastAsia="Arial" w:hAnsi="Arial"/>
          <w:b/>
          <w:bCs/>
          <w:color w:val="1F3864"/>
          <w:sz w:val="24"/>
          <w:szCs w:val="24"/>
        </w:rPr>
        <w:t xml:space="preserve">القسم و: مهام أخرى (غير التدقيق التقليدي)</w:t>
      </w:r>
    </w:p>
    <w:p>
      <w:pPr>
        <w:pStyle w:val="ListParagraph"/>
        <w:numPr>
          <w:ilvl w:val="0"/>
          <w:numId w:val="2"/>
        </w:numPr>
        <w:spacing w:after="60" w:line="300"/>
      </w:pPr>
      <w:r>
        <w:rPr>
          <w:rFonts w:ascii="Calibri" w:cs="Calibri" w:eastAsia="Calibri" w:hAnsi="Calibri"/>
          <w:sz w:val="23"/>
          <w:szCs w:val="23"/>
        </w:rPr>
        <w:t xml:space="preserve">Prospective financial information (ISAE 3400) — the auditor reports on whether assumptions are reasonable and the information is properly prepared, not on whether the forecast will actually occur.</w:t>
      </w:r>
    </w:p>
    <w:p>
      <w:pPr>
        <w:pStyle w:val="ListParagraph"/>
        <w:numPr>
          <w:ilvl w:val="0"/>
          <w:numId w:val="2"/>
        </w:numPr>
        <w:bidi/>
        <w:spacing w:after="170" w:line="320"/>
        <w:jc w:val="right"/>
      </w:pPr>
      <w:r>
        <w:rPr>
          <w:rFonts w:ascii="Arial" w:cs="Arial" w:eastAsia="Arial" w:hAnsi="Arial"/>
          <w:color w:val="5B6472"/>
          <w:sz w:val="24"/>
          <w:szCs w:val="24"/>
        </w:rPr>
        <w:t xml:space="preserve">المعلومات المالية المستقبلية (ISAE 3400) — يقدم المدقق تقريراً حول معقولية الافتراضات وسلامة إعداد المعلومات، وليس حول ما إذا كانت التوقعات ستتحقق فعلاً.</w:t>
      </w:r>
    </w:p>
    <w:p>
      <w:pPr>
        <w:pStyle w:val="ListParagraph"/>
        <w:numPr>
          <w:ilvl w:val="0"/>
          <w:numId w:val="2"/>
        </w:numPr>
        <w:spacing w:after="60" w:line="300"/>
      </w:pPr>
      <w:r>
        <w:rPr>
          <w:rFonts w:ascii="Calibri" w:cs="Calibri" w:eastAsia="Calibri" w:hAnsi="Calibri"/>
          <w:sz w:val="23"/>
          <w:szCs w:val="23"/>
        </w:rPr>
        <w:t xml:space="preserve">Due diligence — an investigative assignment (often for acquisitions) covering financial, commercial, and operational review; not an audit and gives no formal assurance opinion unless specifically agreed.</w:t>
      </w:r>
    </w:p>
    <w:p>
      <w:pPr>
        <w:pStyle w:val="ListParagraph"/>
        <w:numPr>
          <w:ilvl w:val="0"/>
          <w:numId w:val="2"/>
        </w:numPr>
        <w:bidi/>
        <w:spacing w:after="170" w:line="320"/>
        <w:jc w:val="right"/>
      </w:pPr>
      <w:r>
        <w:rPr>
          <w:rFonts w:ascii="Arial" w:cs="Arial" w:eastAsia="Arial" w:hAnsi="Arial"/>
          <w:color w:val="5B6472"/>
          <w:sz w:val="24"/>
          <w:szCs w:val="24"/>
        </w:rPr>
        <w:t xml:space="preserve">العناية الواجبة (Due Diligence) — مهمة استقصائية (غالباً لعمليات الاستحواذ) تشمل مراجعة مالية وتجارية وتشغيلية؛ وهي ليست تدقيقاً ولا تمنح رأي ضمان رسمي إلا إذا اتُفق على ذلك تحديداً.</w:t>
      </w:r>
    </w:p>
    <w:p>
      <w:pPr>
        <w:pStyle w:val="ListParagraph"/>
        <w:numPr>
          <w:ilvl w:val="0"/>
          <w:numId w:val="2"/>
        </w:numPr>
        <w:spacing w:after="60" w:line="300"/>
      </w:pPr>
      <w:r>
        <w:rPr>
          <w:rFonts w:ascii="Calibri" w:cs="Calibri" w:eastAsia="Calibri" w:hAnsi="Calibri"/>
          <w:sz w:val="23"/>
          <w:szCs w:val="23"/>
        </w:rPr>
        <w:t xml:space="preserve">Forensic audits/investigations — used to gather evidence for legal proceedings (e.g. suspected fraud); require a clear terms of reference and careful evidence-handling ("chain of custody").</w:t>
      </w:r>
    </w:p>
    <w:p>
      <w:pPr>
        <w:pStyle w:val="ListParagraph"/>
        <w:numPr>
          <w:ilvl w:val="0"/>
          <w:numId w:val="2"/>
        </w:numPr>
        <w:bidi/>
        <w:spacing w:after="170" w:line="320"/>
        <w:jc w:val="right"/>
      </w:pPr>
      <w:r>
        <w:rPr>
          <w:rFonts w:ascii="Arial" w:cs="Arial" w:eastAsia="Arial" w:hAnsi="Arial"/>
          <w:color w:val="5B6472"/>
          <w:sz w:val="24"/>
          <w:szCs w:val="24"/>
        </w:rPr>
        <w:t xml:space="preserve">التدقيق/التحقيق الجنائي — يُستخدم لجمع أدلة لأغراض قضائية (كالاشتباه بالاحتيال)؛ ويتطلب تحديداً واضحاً لنطاق العمل وتعاملاً دقيقاً مع الأدلة (سلسلة الحيازة).</w:t>
      </w:r>
    </w:p>
    <w:p>
      <w:pPr>
        <w:pStyle w:val="ListParagraph"/>
        <w:numPr>
          <w:ilvl w:val="0"/>
          <w:numId w:val="2"/>
        </w:numPr>
        <w:spacing w:after="60" w:line="300"/>
      </w:pPr>
      <w:r>
        <w:rPr>
          <w:rFonts w:ascii="Calibri" w:cs="Calibri" w:eastAsia="Calibri" w:hAnsi="Calibri"/>
          <w:sz w:val="23"/>
          <w:szCs w:val="23"/>
        </w:rPr>
        <w:t xml:space="preserve">Assurance on other information / sustainability reporting — increasingly requested by stakeholders; distinguish reasonable vs limited assurance scope in the engagement terms.</w:t>
      </w:r>
    </w:p>
    <w:p>
      <w:pPr>
        <w:pStyle w:val="ListParagraph"/>
        <w:numPr>
          <w:ilvl w:val="0"/>
          <w:numId w:val="2"/>
        </w:numPr>
        <w:bidi/>
        <w:spacing w:after="170" w:line="320"/>
        <w:jc w:val="right"/>
      </w:pPr>
      <w:r>
        <w:rPr>
          <w:rFonts w:ascii="Arial" w:cs="Arial" w:eastAsia="Arial" w:hAnsi="Arial"/>
          <w:color w:val="5B6472"/>
          <w:sz w:val="24"/>
          <w:szCs w:val="24"/>
        </w:rPr>
        <w:t xml:space="preserve">الضمان على معلومات أخرى / تقارير الاستدامة — يطلبها أصحاب المصلحة بشكل متزايد؛ يجب تمييز نطاق الضمان المعقول عن المحدود ضمن شروط المهمة.</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Section G: Current Issues in Audit</w:t>
      </w:r>
    </w:p>
    <w:p>
      <w:pPr>
        <w:bidi/>
        <w:spacing w:after="180"/>
        <w:jc w:val="right"/>
      </w:pPr>
      <w:r>
        <w:rPr>
          <w:rFonts w:ascii="Arial" w:cs="Arial" w:eastAsia="Arial" w:hAnsi="Arial"/>
          <w:b/>
          <w:bCs/>
          <w:color w:val="1F3864"/>
          <w:sz w:val="24"/>
          <w:szCs w:val="24"/>
        </w:rPr>
        <w:t xml:space="preserve">القسم ز: قضايا معاصرة في التدقيق</w:t>
      </w:r>
    </w:p>
    <w:p>
      <w:pPr>
        <w:pStyle w:val="ListParagraph"/>
        <w:numPr>
          <w:ilvl w:val="0"/>
          <w:numId w:val="2"/>
        </w:numPr>
        <w:spacing w:after="60" w:line="300"/>
      </w:pPr>
      <w:r>
        <w:rPr>
          <w:rFonts w:ascii="Calibri" w:cs="Calibri" w:eastAsia="Calibri" w:hAnsi="Calibri"/>
          <w:sz w:val="23"/>
          <w:szCs w:val="23"/>
        </w:rPr>
        <w:t xml:space="preserve">Audit technology and data analytics — using data analytics on 100% of a population can strengthen evidence, but raises new risks around data reliability and completeness.</w:t>
      </w:r>
    </w:p>
    <w:p>
      <w:pPr>
        <w:pStyle w:val="ListParagraph"/>
        <w:numPr>
          <w:ilvl w:val="0"/>
          <w:numId w:val="2"/>
        </w:numPr>
        <w:bidi/>
        <w:spacing w:after="170" w:line="320"/>
        <w:jc w:val="right"/>
      </w:pPr>
      <w:r>
        <w:rPr>
          <w:rFonts w:ascii="Arial" w:cs="Arial" w:eastAsia="Arial" w:hAnsi="Arial"/>
          <w:color w:val="5B6472"/>
          <w:sz w:val="24"/>
          <w:szCs w:val="24"/>
        </w:rPr>
        <w:t xml:space="preserve">تقنية التدقيق وتحليل البيانات — يعزز استخدام تحليل البيانات على كامل مجتمع البيانات جودة الأدلة، لكنه يطرح مخاطر جديدة تتعلق بموثوقية واكتمال البيانات.</w:t>
      </w:r>
    </w:p>
    <w:p>
      <w:pPr>
        <w:pStyle w:val="ListParagraph"/>
        <w:numPr>
          <w:ilvl w:val="0"/>
          <w:numId w:val="2"/>
        </w:numPr>
        <w:spacing w:after="60" w:line="300"/>
      </w:pPr>
      <w:r>
        <w:rPr>
          <w:rFonts w:ascii="Calibri" w:cs="Calibri" w:eastAsia="Calibri" w:hAnsi="Calibri"/>
          <w:sz w:val="23"/>
          <w:szCs w:val="23"/>
        </w:rPr>
        <w:t xml:space="preserve">ESG and sustainability reporting — growing demand for assurance over non-financial information; new standards (e.g. ISSA 5000) are emerging internationally.</w:t>
      </w:r>
    </w:p>
    <w:p>
      <w:pPr>
        <w:pStyle w:val="ListParagraph"/>
        <w:numPr>
          <w:ilvl w:val="0"/>
          <w:numId w:val="2"/>
        </w:numPr>
        <w:bidi/>
        <w:spacing w:after="170" w:line="320"/>
        <w:jc w:val="right"/>
      </w:pPr>
      <w:r>
        <w:rPr>
          <w:rFonts w:ascii="Arial" w:cs="Arial" w:eastAsia="Arial" w:hAnsi="Arial"/>
          <w:color w:val="5B6472"/>
          <w:sz w:val="24"/>
          <w:szCs w:val="24"/>
        </w:rPr>
        <w:t xml:space="preserve">تقارير الاستدامة والحوكمة البيئية والاجتماعية (ESG) — طلب متزايد على تقديم ضمان حول المعلومات غير المالية؛ وتظهر معايير دولية جديدة (مثل ISSA 5000).</w:t>
      </w:r>
    </w:p>
    <w:p>
      <w:pPr>
        <w:pStyle w:val="ListParagraph"/>
        <w:numPr>
          <w:ilvl w:val="0"/>
          <w:numId w:val="2"/>
        </w:numPr>
        <w:spacing w:after="60" w:line="300"/>
      </w:pPr>
      <w:r>
        <w:rPr>
          <w:rFonts w:ascii="Calibri" w:cs="Calibri" w:eastAsia="Calibri" w:hAnsi="Calibri"/>
          <w:sz w:val="23"/>
          <w:szCs w:val="23"/>
        </w:rPr>
        <w:t xml:space="preserve">Audit quality and regulatory scrutiny — regulators worldwide continue to focus on professional scepticism, especially around estimates and going concern.</w:t>
      </w:r>
    </w:p>
    <w:p>
      <w:pPr>
        <w:pStyle w:val="ListParagraph"/>
        <w:numPr>
          <w:ilvl w:val="0"/>
          <w:numId w:val="2"/>
        </w:numPr>
        <w:bidi/>
        <w:spacing w:after="170" w:line="320"/>
        <w:jc w:val="right"/>
      </w:pPr>
      <w:r>
        <w:rPr>
          <w:rFonts w:ascii="Arial" w:cs="Arial" w:eastAsia="Arial" w:hAnsi="Arial"/>
          <w:color w:val="5B6472"/>
          <w:sz w:val="24"/>
          <w:szCs w:val="24"/>
        </w:rPr>
        <w:t xml:space="preserve">جودة التدقيق والرقابة التنظيمية — تواصل الجهات التنظيمية حول العالم التركيز على الشك المهني، خاصة في التقديرات المحاسبية والاستمرارية.</w:t>
      </w:r>
    </w:p>
    <w:p>
      <w:r>
        <w:br w:type="page"/>
      </w:r>
    </w:p>
    <w:p>
      <w:r>
        <w:br w:type="page"/>
      </w:r>
    </w:p>
    <w:tbl>
      <w:tblPr>
        <w:tblW w:type="pct" w:w="100%"/>
        <w:tblBorders>
          <w:top w:val="none" w:color="14213D" w:sz="0"/>
          <w:left w:val="none" w:color="14213D" w:sz="0"/>
          <w:bottom w:val="none" w:color="14213D" w:sz="0"/>
          <w:right w:val="none" w:color="14213D" w:sz="0"/>
          <w:insideH w:val="none" w:color="14213D" w:sz="0"/>
          <w:insideV w:val="none" w:color="14213D" w:sz="0"/>
        </w:tblBorders>
        <w:tblLayout w:type="fixed"/>
      </w:tblPr>
      <w:tblGrid>
        <w:gridCol w:w="100"/>
      </w:tblGrid>
      <w:tr>
        <w:tc>
          <w:tcPr>
            <w:tcW w:type="pct" w:w="100%"/>
            <w:shd w:fill="14213D" w:val="clear"/>
            <w:tcMar>
              <w:top w:type="dxa" w:w="200"/>
              <w:left w:type="dxa" w:w="300"/>
              <w:bottom w:type="dxa" w:w="200"/>
              <w:right w:type="dxa" w:w="300"/>
            </w:tcMar>
            <w:vAlign w:val="center"/>
          </w:tcPr>
          <w:p>
            <w:pPr>
              <w:spacing w:before="80"/>
              <w:jc w:val="center"/>
            </w:pPr>
            <w:r>
              <w:rPr>
                <w:rFonts w:ascii="Cambria" w:cs="Cambria" w:eastAsia="Cambria" w:hAnsi="Cambria"/>
                <w:b/>
                <w:bCs/>
                <w:color w:val="FFFFFF"/>
                <w:sz w:val="30"/>
                <w:szCs w:val="30"/>
              </w:rPr>
              <w:t xml:space="preserve">✎  AAA — Mock Exam (Strategic Professional Level)</w:t>
            </w:r>
          </w:p>
          <w:p>
            <w:pPr>
              <w:bidi/>
              <w:spacing w:after="80" w:before="60"/>
              <w:jc w:val="center"/>
            </w:pPr>
            <w:r>
              <w:rPr>
                <w:rFonts w:ascii="Arial" w:cs="Arial" w:eastAsia="Arial" w:hAnsi="Arial"/>
                <w:b/>
                <w:bCs/>
                <w:color w:val="FFFFFF"/>
                <w:sz w:val="26"/>
                <w:szCs w:val="26"/>
              </w:rPr>
              <w:t xml:space="preserve">امتحان تجريبي — مادة AAA (مستوى Strategic Professional)</w:t>
            </w:r>
          </w:p>
        </w:tc>
      </w:tr>
    </w:tbl>
    <w:p>
      <w:pPr>
        <w:spacing w:before="200"/>
      </w:pPr>
    </w:p>
    <w:p>
      <w:pPr>
        <w:spacing w:after="160" w:line="300"/>
      </w:pPr>
      <w:r>
        <w:rPr>
          <w:rFonts w:ascii="Calibri" w:cs="Calibri" w:eastAsia="Calibri" w:hAnsi="Calibri"/>
          <w:sz w:val="25"/>
          <w:szCs w:val="25"/>
        </w:rPr>
        <w:t xml:space="preserve">AAA exams are case-study based, requiring written analysis rather than single correct answers. Below is one scenario with three requirements, in the style of the real exam. Suggested answer points follow each requirement.</w:t>
      </w:r>
    </w:p>
    <w:p>
      <w:pPr>
        <w:bidi/>
        <w:spacing w:after="260" w:line="340"/>
        <w:jc w:val="right"/>
      </w:pPr>
      <w:r>
        <w:rPr>
          <w:rFonts w:ascii="Arial" w:cs="Arial" w:eastAsia="Arial" w:hAnsi="Arial"/>
          <w:sz w:val="26"/>
          <w:szCs w:val="26"/>
        </w:rPr>
        <w:t xml:space="preserve">امتحانات AAA مبنية على دراسة حالة، وتتطلب تحليلاً كتابياً وليس إجابة واحدة صحيحة. فيما يلي سيناريو واحد يتضمن ثلاثة متطلبات على نمط الامتحان الفعلي، مع نقاط إجابة مقترحة بعد كل متطلب.</w:t>
      </w:r>
    </w:p>
    <w:tbl>
      <w:tblPr>
        <w:tblW w:type="pct" w:w="100%"/>
        <w:tblBorders>
          <w:top w:val="none" w:color="F1EEE6" w:sz="0"/>
          <w:left w:val="none" w:color="F1EEE6" w:sz="0"/>
          <w:bottom w:val="none" w:color="F1EEE6" w:sz="0"/>
          <w:right w:val="none" w:color="F1EEE6" w:sz="0"/>
          <w:insideH w:val="none" w:color="F1EEE6" w:sz="0"/>
          <w:insideV w:val="none" w:color="F1EEE6" w:sz="0"/>
        </w:tblBorders>
        <w:tblLayout w:type="fixed"/>
      </w:tblPr>
      <w:tblGrid>
        <w:gridCol w:w="100"/>
      </w:tblGrid>
      <w:tr>
        <w:tc>
          <w:tcPr>
            <w:tcW w:type="pct" w:w="100%"/>
            <w:shd w:fill="F1EEE6" w:val="clear"/>
            <w:tcMar>
              <w:top w:type="dxa" w:w="200"/>
              <w:left w:type="dxa" w:w="300"/>
              <w:bottom w:type="dxa" w:w="200"/>
              <w:right w:type="dxa" w:w="300"/>
            </w:tcMar>
            <w:vAlign w:val="center"/>
          </w:tcPr>
          <w:p>
            <w:pPr>
              <w:spacing w:after="120"/>
            </w:pPr>
            <w:r>
              <w:rPr>
                <w:rFonts w:ascii="Calibri" w:cs="Calibri" w:eastAsia="Calibri" w:hAnsi="Calibri"/>
                <w:b/>
                <w:bCs/>
                <w:color w:val="B8912F"/>
                <w:sz w:val="20"/>
                <w:szCs w:val="20"/>
              </w:rPr>
              <w:t xml:space="preserve">CASE STUDY</w:t>
            </w:r>
          </w:p>
          <w:p>
            <w:pPr>
              <w:spacing w:line="300"/>
            </w:pPr>
            <w:r>
              <w:rPr>
                <w:rFonts w:ascii="Calibri" w:cs="Calibri" w:eastAsia="Calibri" w:hAnsi="Calibri"/>
                <w:i/>
                <w:iCs/>
                <w:sz w:val="23"/>
                <w:szCs w:val="23"/>
              </w:rPr>
              <w:t xml:space="preserve">Scenario: You are the audit manager on the group audit of Falcon Holdings, a listed company with three subsidiaries, one of which (Desert Metals Ltd) is audited by a different firm and contributes 35% of group revenue. During the audit, you discover the finance director of Falcon Holdings has personally guaranteed a bank loan to a major supplier, and that supplier's balance is not disclosed as a related party transaction. Separately, the audit senior on Desert Metals proposes charging the client a fee that is 15% below the firm's standard rate to "secure the relationship" ahead of a competitive re-tender next year.</w:t>
            </w:r>
          </w:p>
          <w:p>
            <w:pPr>
              <w:bidi/>
              <w:spacing w:before="140" w:line="320"/>
              <w:jc w:val="right"/>
            </w:pPr>
            <w:r>
              <w:rPr>
                <w:rFonts w:ascii="Arial" w:cs="Arial" w:eastAsia="Arial" w:hAnsi="Arial"/>
                <w:i/>
                <w:iCs/>
                <w:sz w:val="24"/>
                <w:szCs w:val="24"/>
              </w:rPr>
              <w:t xml:space="preserve">السيناريو: أنت مدير التدقيق في مهمة تدقيق مجموعة Falcon Holdings، وهي شركة مدرجة تضم ثلاث شركات تابعة، إحداها (Desert Metals Ltd) يدققها مكتب آخر وتساهم بنسبة ٣٥٪ من إيرادات المجموعة. أثناء التدقيق، تكتشف أن المدير المالي لشركة Falcon Holdings قدّم ضماناً شخصياً لقرض بنكي لمورد رئيسي، وأن رصيد هذا المورد لم يُفصح عنه كمعاملة طرف ذي علاقة. وبشكل منفصل، يقترح مدقق أول في تدقيق Desert Metals تخفيض الأتعاب بنسبة ١٥٪ عن السعر المعتاد للمكتب "لتعزيز العلاقة" قبل إعادة طرح العرض التنافسي في العام القادم.</w:t>
            </w:r>
          </w:p>
        </w:tc>
      </w:tr>
    </w:tbl>
    <w:p>
      <w:pPr>
        <w:spacing w:after="220"/>
      </w:pPr>
    </w:p>
    <w:p>
      <w:pPr>
        <w:pStyle w:val="Heading3"/>
        <w:pBdr>
          <w:left w:val="single" w:color="B8912F" w:sz="24" w:space="8"/>
        </w:pBdr>
        <w:spacing w:after="40" w:before="340"/>
        <w:ind w:left="120"/>
      </w:pPr>
      <w:r>
        <w:rPr>
          <w:rFonts w:ascii="Cambria" w:cs="Cambria" w:eastAsia="Cambria" w:hAnsi="Cambria"/>
          <w:b/>
          <w:bCs/>
          <w:color w:val="B8912F"/>
        </w:rPr>
        <w:t xml:space="preserve">Requirement (a): Identify and explain the audit risks arising from the finance director's guarantee. (6 marks)</w:t>
      </w:r>
    </w:p>
    <w:p>
      <w:pPr>
        <w:bidi/>
        <w:spacing w:after="180"/>
        <w:jc w:val="right"/>
      </w:pPr>
      <w:r>
        <w:rPr>
          <w:rFonts w:ascii="Arial" w:cs="Arial" w:eastAsia="Arial" w:hAnsi="Arial"/>
          <w:b/>
          <w:bCs/>
          <w:color w:val="B8912F"/>
          <w:sz w:val="24"/>
          <w:szCs w:val="24"/>
        </w:rPr>
        <w:t xml:space="preserve">المتطلب (أ): حدد واشرح مخاطر التدقيق الناشئة عن ضمان المدير المالي. (٦ درجات)</w:t>
      </w:r>
    </w:p>
    <w:p>
      <w:pPr>
        <w:pStyle w:val="ListParagraph"/>
        <w:numPr>
          <w:ilvl w:val="0"/>
          <w:numId w:val="2"/>
        </w:numPr>
        <w:spacing w:after="60" w:line="300"/>
      </w:pPr>
      <w:r>
        <w:rPr>
          <w:rFonts w:ascii="Calibri" w:cs="Calibri" w:eastAsia="Calibri" w:hAnsi="Calibri"/>
          <w:sz w:val="23"/>
          <w:szCs w:val="23"/>
        </w:rPr>
        <w:t xml:space="preserve">Related party risk — the undisclosed guarantee suggests a related party relationship with the supplier that has not been identified/disclosed under IAS 24, risking material misstatement by omission.</w:t>
      </w:r>
    </w:p>
    <w:p>
      <w:pPr>
        <w:pStyle w:val="ListParagraph"/>
        <w:numPr>
          <w:ilvl w:val="0"/>
          <w:numId w:val="2"/>
        </w:numPr>
        <w:bidi/>
        <w:spacing w:after="170" w:line="320"/>
        <w:jc w:val="right"/>
      </w:pPr>
      <w:r>
        <w:rPr>
          <w:rFonts w:ascii="Arial" w:cs="Arial" w:eastAsia="Arial" w:hAnsi="Arial"/>
          <w:color w:val="5B6472"/>
          <w:sz w:val="24"/>
          <w:szCs w:val="24"/>
        </w:rPr>
        <w:t xml:space="preserve">مخاطر الأطراف ذات العلاقة — يشير الضمان غير المُفصح عنه إلى وجود علاقة طرف ذي صلة مع المورد لم يتم تحديدها أو الإفصاح عنها وفق المعيار الدولي IAS 24، مما يُنشئ خطر تحريف جوهري بالحذف.</w:t>
      </w:r>
    </w:p>
    <w:p>
      <w:pPr>
        <w:pStyle w:val="ListParagraph"/>
        <w:numPr>
          <w:ilvl w:val="0"/>
          <w:numId w:val="2"/>
        </w:numPr>
        <w:spacing w:after="60" w:line="300"/>
      </w:pPr>
      <w:r>
        <w:rPr>
          <w:rFonts w:ascii="Calibri" w:cs="Calibri" w:eastAsia="Calibri" w:hAnsi="Calibri"/>
          <w:sz w:val="23"/>
          <w:szCs w:val="23"/>
        </w:rPr>
        <w:t xml:space="preserve">Management integrity / fraud risk — a personal guarantee not disclosed to those charged with governance raises concerns about the finance director's objectivity and possible manipulation of terms with that supplier (e.g. favourable pricing, delayed payment terms).</w:t>
      </w:r>
    </w:p>
    <w:p>
      <w:pPr>
        <w:pStyle w:val="ListParagraph"/>
        <w:numPr>
          <w:ilvl w:val="0"/>
          <w:numId w:val="2"/>
        </w:numPr>
        <w:bidi/>
        <w:spacing w:after="170" w:line="320"/>
        <w:jc w:val="right"/>
      </w:pPr>
      <w:r>
        <w:rPr>
          <w:rFonts w:ascii="Arial" w:cs="Arial" w:eastAsia="Arial" w:hAnsi="Arial"/>
          <w:color w:val="5B6472"/>
          <w:sz w:val="24"/>
          <w:szCs w:val="24"/>
        </w:rPr>
        <w:t xml:space="preserve">مخاطر نزاهة الإدارة / الاحتيال — عدم إفصاح المدير المالي عن الضمان الشخصي للمكلفين بالحوكمة يثير مخاوف بشأن موضوعيته واحتمال التلاعب بشروط التعامل مع ذلك المورد (كأسعار تفضيلية أو شروط دفع متساهلة).</w:t>
      </w:r>
    </w:p>
    <w:p>
      <w:pPr>
        <w:pStyle w:val="ListParagraph"/>
        <w:numPr>
          <w:ilvl w:val="0"/>
          <w:numId w:val="2"/>
        </w:numPr>
        <w:spacing w:after="60" w:line="300"/>
      </w:pPr>
      <w:r>
        <w:rPr>
          <w:rFonts w:ascii="Calibri" w:cs="Calibri" w:eastAsia="Calibri" w:hAnsi="Calibri"/>
          <w:sz w:val="23"/>
          <w:szCs w:val="23"/>
        </w:rPr>
        <w:t xml:space="preserve">Going concern implication — if the supplier is financially weak, the guarantee could crystallise into a liability for the finance director personally and, indirectly, create pressure/influence over Falcon Holdings' dealings with the supplier.</w:t>
      </w:r>
    </w:p>
    <w:p>
      <w:pPr>
        <w:pStyle w:val="ListParagraph"/>
        <w:numPr>
          <w:ilvl w:val="0"/>
          <w:numId w:val="2"/>
        </w:numPr>
        <w:bidi/>
        <w:spacing w:after="170" w:line="320"/>
        <w:jc w:val="right"/>
      </w:pPr>
      <w:r>
        <w:rPr>
          <w:rFonts w:ascii="Arial" w:cs="Arial" w:eastAsia="Arial" w:hAnsi="Arial"/>
          <w:color w:val="5B6472"/>
          <w:sz w:val="24"/>
          <w:szCs w:val="24"/>
        </w:rPr>
        <w:t xml:space="preserve">أثر على الاستمرارية — إذا كان المورد ضعيفاً مالياً، فقد يتحول الضمان إلى التزام فعلي على المدير المالي شخصياً، وقد يخلق ذلك ضغطاً أو تأثيراً غير مباشر على تعاملات Falcon Holdings مع هذا المورد.</w:t>
      </w:r>
    </w:p>
    <w:p>
      <w:pPr>
        <w:pStyle w:val="Heading3"/>
        <w:pBdr>
          <w:left w:val="single" w:color="B8912F" w:sz="24" w:space="8"/>
        </w:pBdr>
        <w:spacing w:after="40" w:before="340"/>
        <w:ind w:left="120"/>
      </w:pPr>
      <w:r>
        <w:rPr>
          <w:rFonts w:ascii="Cambria" w:cs="Cambria" w:eastAsia="Cambria" w:hAnsi="Cambria"/>
          <w:b/>
          <w:bCs/>
          <w:color w:val="B8912F"/>
        </w:rPr>
        <w:t xml:space="preserve">Requirement (b): Discuss the ethical implications of the proposed fee reduction on Desert Metals. (5 marks)</w:t>
      </w:r>
    </w:p>
    <w:p>
      <w:pPr>
        <w:bidi/>
        <w:spacing w:after="180"/>
        <w:jc w:val="right"/>
      </w:pPr>
      <w:r>
        <w:rPr>
          <w:rFonts w:ascii="Arial" w:cs="Arial" w:eastAsia="Arial" w:hAnsi="Arial"/>
          <w:b/>
          <w:bCs/>
          <w:color w:val="B8912F"/>
          <w:sz w:val="24"/>
          <w:szCs w:val="24"/>
        </w:rPr>
        <w:t xml:space="preserve">المتطلب (ب): ناقش الآثار الأخلاقية لاقتراح تخفيض الأتعاب في تدقيق Desert Metals. (٥ درجات)</w:t>
      </w:r>
    </w:p>
    <w:p>
      <w:pPr>
        <w:pStyle w:val="ListParagraph"/>
        <w:numPr>
          <w:ilvl w:val="0"/>
          <w:numId w:val="2"/>
        </w:numPr>
        <w:spacing w:after="60" w:line="300"/>
      </w:pPr>
      <w:r>
        <w:rPr>
          <w:rFonts w:ascii="Calibri" w:cs="Calibri" w:eastAsia="Calibri" w:hAnsi="Calibri"/>
          <w:sz w:val="23"/>
          <w:szCs w:val="23"/>
        </w:rPr>
        <w:t xml:space="preserve">Self-interest threat — reducing the fee to "secure" a future re-tender links the fee decision to retaining the client relationship rather than the actual time/risk of the engagement.</w:t>
      </w:r>
    </w:p>
    <w:p>
      <w:pPr>
        <w:pStyle w:val="ListParagraph"/>
        <w:numPr>
          <w:ilvl w:val="0"/>
          <w:numId w:val="2"/>
        </w:numPr>
        <w:bidi/>
        <w:spacing w:after="170" w:line="320"/>
        <w:jc w:val="right"/>
      </w:pPr>
      <w:r>
        <w:rPr>
          <w:rFonts w:ascii="Arial" w:cs="Arial" w:eastAsia="Arial" w:hAnsi="Arial"/>
          <w:color w:val="5B6472"/>
          <w:sz w:val="24"/>
          <w:szCs w:val="24"/>
        </w:rPr>
        <w:t xml:space="preserve">تهديد المصلحة الذاتية — يربط تخفيض الأتعاب "لتعزيز" فرصة الفوز بإعادة الطرح مستقبلاً القرار المالي بالحفاظ على العلاقة مع العميل بدلاً من ربطه بالوقت والمخاطر الفعلية للمهمة.</w:t>
      </w:r>
    </w:p>
    <w:p>
      <w:pPr>
        <w:pStyle w:val="ListParagraph"/>
        <w:numPr>
          <w:ilvl w:val="0"/>
          <w:numId w:val="2"/>
        </w:numPr>
        <w:spacing w:after="60" w:line="300"/>
      </w:pPr>
      <w:r>
        <w:rPr>
          <w:rFonts w:ascii="Calibri" w:cs="Calibri" w:eastAsia="Calibri" w:hAnsi="Calibri"/>
          <w:sz w:val="23"/>
          <w:szCs w:val="23"/>
        </w:rPr>
        <w:t xml:space="preserve">Low-balling itself is not automatically prohibited under the Code, but the firm must ensure audit quality is not compromised — sufficient time and appropriately qualified staff must still be assigned regardless of the lower fee.</w:t>
      </w:r>
    </w:p>
    <w:p>
      <w:pPr>
        <w:pStyle w:val="ListParagraph"/>
        <w:numPr>
          <w:ilvl w:val="0"/>
          <w:numId w:val="2"/>
        </w:numPr>
        <w:bidi/>
        <w:spacing w:after="170" w:line="320"/>
        <w:jc w:val="right"/>
      </w:pPr>
      <w:r>
        <w:rPr>
          <w:rFonts w:ascii="Arial" w:cs="Arial" w:eastAsia="Arial" w:hAnsi="Arial"/>
          <w:color w:val="5B6472"/>
          <w:sz w:val="24"/>
          <w:szCs w:val="24"/>
        </w:rPr>
        <w:t xml:space="preserve">التسعير المنخفض بحد ذاته ليس محظوراً تلقائياً بموجب المدونة، لكن يجب على المكتب التأكد من عدم المساس بجودة التدقيق — إذ يجب تخصيص وقت كافٍ وموظفين مؤهلين بغض النظر عن انخفاض الأتعاب.</w:t>
      </w:r>
    </w:p>
    <w:p>
      <w:pPr>
        <w:pStyle w:val="ListParagraph"/>
        <w:numPr>
          <w:ilvl w:val="0"/>
          <w:numId w:val="2"/>
        </w:numPr>
        <w:spacing w:after="60" w:line="300"/>
      </w:pPr>
      <w:r>
        <w:rPr>
          <w:rFonts w:ascii="Calibri" w:cs="Calibri" w:eastAsia="Calibri" w:hAnsi="Calibri"/>
          <w:sz w:val="23"/>
          <w:szCs w:val="23"/>
        </w:rPr>
        <w:t xml:space="preserve">Recommendation: document the rationale for the fee, confirm sufficient resources will still be allocated, and have a partner (not the audit senior) approve any fee variation.</w:t>
      </w:r>
    </w:p>
    <w:p>
      <w:pPr>
        <w:pStyle w:val="ListParagraph"/>
        <w:numPr>
          <w:ilvl w:val="0"/>
          <w:numId w:val="2"/>
        </w:numPr>
        <w:bidi/>
        <w:spacing w:after="170" w:line="320"/>
        <w:jc w:val="right"/>
      </w:pPr>
      <w:r>
        <w:rPr>
          <w:rFonts w:ascii="Arial" w:cs="Arial" w:eastAsia="Arial" w:hAnsi="Arial"/>
          <w:color w:val="5B6472"/>
          <w:sz w:val="24"/>
          <w:szCs w:val="24"/>
        </w:rPr>
        <w:t xml:space="preserve">التوصية: توثيق مبررات الأتعاب، والتأكد من تخصيص موارد كافية رغم ذلك، وأن تتم الموافقة على أي تغيير بالأتعاب من قِبل شريك (وليس المدقق الأول).</w:t>
      </w:r>
    </w:p>
    <w:p>
      <w:pPr>
        <w:pStyle w:val="Heading3"/>
        <w:pBdr>
          <w:left w:val="single" w:color="B8912F" w:sz="24" w:space="8"/>
        </w:pBdr>
        <w:spacing w:after="40" w:before="340"/>
        <w:ind w:left="120"/>
      </w:pPr>
      <w:r>
        <w:rPr>
          <w:rFonts w:ascii="Cambria" w:cs="Cambria" w:eastAsia="Cambria" w:hAnsi="Cambria"/>
          <w:b/>
          <w:bCs/>
          <w:color w:val="B8912F"/>
        </w:rPr>
        <w:t xml:space="preserve">Requirement (c): Explain the impact of these matters on the group audit opinion, assuming they cannot be resolved before the report is signed. (5 marks)</w:t>
      </w:r>
    </w:p>
    <w:p>
      <w:pPr>
        <w:bidi/>
        <w:spacing w:after="180"/>
        <w:jc w:val="right"/>
      </w:pPr>
      <w:r>
        <w:rPr>
          <w:rFonts w:ascii="Arial" w:cs="Arial" w:eastAsia="Arial" w:hAnsi="Arial"/>
          <w:b/>
          <w:bCs/>
          <w:color w:val="B8912F"/>
          <w:sz w:val="24"/>
          <w:szCs w:val="24"/>
        </w:rPr>
        <w:t xml:space="preserve">المتطلب (ج): اشرح أثر هذه الأمور على رأي تدقيق المجموعة، بافتراض تعذّر حلّها قبل توقيع التقرير. (٥ درجات)</w:t>
      </w:r>
    </w:p>
    <w:p>
      <w:pPr>
        <w:pStyle w:val="ListParagraph"/>
        <w:numPr>
          <w:ilvl w:val="0"/>
          <w:numId w:val="2"/>
        </w:numPr>
        <w:spacing w:after="60" w:line="300"/>
      </w:pPr>
      <w:r>
        <w:rPr>
          <w:rFonts w:ascii="Calibri" w:cs="Calibri" w:eastAsia="Calibri" w:hAnsi="Calibri"/>
          <w:sz w:val="23"/>
          <w:szCs w:val="23"/>
        </w:rPr>
        <w:t xml:space="preserve">The undisclosed related party transaction is a disagreement with management over a required disclosure — if material, this points towards a qualified ("except for") opinion; if pervasive to users' understanding of the financial statements, towards an adverse opinion.</w:t>
      </w:r>
    </w:p>
    <w:p>
      <w:pPr>
        <w:pStyle w:val="ListParagraph"/>
        <w:numPr>
          <w:ilvl w:val="0"/>
          <w:numId w:val="2"/>
        </w:numPr>
        <w:bidi/>
        <w:spacing w:after="170" w:line="320"/>
        <w:jc w:val="right"/>
      </w:pPr>
      <w:r>
        <w:rPr>
          <w:rFonts w:ascii="Arial" w:cs="Arial" w:eastAsia="Arial" w:hAnsi="Arial"/>
          <w:color w:val="5B6472"/>
          <w:sz w:val="24"/>
          <w:szCs w:val="24"/>
        </w:rPr>
        <w:t xml:space="preserve">يمثل عدم الإفصاح عن معاملة الطرف ذي العلاقة اختلافاً مع الإدارة حول إفصاح مطلوب — وإذا كان جوهرياً، يتجه الرأي نحو رأي متحفظ ("باستثناء")؛ وإذا كان منتشراً ويؤثر على فهم المستخدمين للقوائم المالية ككل، يتجه نحو رأي معاكس.</w:t>
      </w:r>
    </w:p>
    <w:p>
      <w:pPr>
        <w:pStyle w:val="ListParagraph"/>
        <w:numPr>
          <w:ilvl w:val="0"/>
          <w:numId w:val="2"/>
        </w:numPr>
        <w:spacing w:after="60" w:line="300"/>
      </w:pPr>
      <w:r>
        <w:rPr>
          <w:rFonts w:ascii="Calibri" w:cs="Calibri" w:eastAsia="Calibri" w:hAnsi="Calibri"/>
          <w:sz w:val="23"/>
          <w:szCs w:val="23"/>
        </w:rPr>
        <w:t xml:space="preserve">The fee issue at the component level does not itself affect the opinion, but the group engagement partner must still confirm Desert Metals' auditor remains independent and that the quality of their work (and evidence obtained on it) is adequate for group audit purposes.</w:t>
      </w:r>
    </w:p>
    <w:p>
      <w:pPr>
        <w:pStyle w:val="ListParagraph"/>
        <w:numPr>
          <w:ilvl w:val="0"/>
          <w:numId w:val="2"/>
        </w:numPr>
        <w:bidi/>
        <w:spacing w:after="170" w:line="320"/>
        <w:jc w:val="right"/>
      </w:pPr>
      <w:r>
        <w:rPr>
          <w:rFonts w:ascii="Arial" w:cs="Arial" w:eastAsia="Arial" w:hAnsi="Arial"/>
          <w:color w:val="5B6472"/>
          <w:sz w:val="24"/>
          <w:szCs w:val="24"/>
        </w:rPr>
        <w:t xml:space="preserve">مسألة الأتعاب على مستوى المكوّن لا تؤثر بحد ذاتها على الرأي، لكن يجب على شريك تدقيق المجموعة التأكد من استقلالية مدقق Desert Metals ومن كفاية جودة عمله والأدلة التي حصل عليها لأغراض تدقيق المجموعة.</w:t>
      </w:r>
    </w:p>
    <w:p>
      <w:pPr>
        <w:pStyle w:val="ListParagraph"/>
        <w:numPr>
          <w:ilvl w:val="0"/>
          <w:numId w:val="2"/>
        </w:numPr>
        <w:spacing w:after="60" w:line="300"/>
      </w:pPr>
      <w:r>
        <w:rPr>
          <w:rFonts w:ascii="Calibri" w:cs="Calibri" w:eastAsia="Calibri" w:hAnsi="Calibri"/>
          <w:sz w:val="23"/>
          <w:szCs w:val="23"/>
        </w:rPr>
        <w:t xml:space="preserve">A Key Audit Matter may also be warranted given Falcon Holdings is listed, to communicate how the related party matter was addressed, even if ultimately resolved or immaterial.</w:t>
      </w:r>
    </w:p>
    <w:p>
      <w:pPr>
        <w:pStyle w:val="ListParagraph"/>
        <w:numPr>
          <w:ilvl w:val="0"/>
          <w:numId w:val="2"/>
        </w:numPr>
        <w:bidi/>
        <w:spacing w:after="170" w:line="320"/>
        <w:jc w:val="right"/>
      </w:pPr>
      <w:r>
        <w:rPr>
          <w:rFonts w:ascii="Arial" w:cs="Arial" w:eastAsia="Arial" w:hAnsi="Arial"/>
          <w:color w:val="5B6472"/>
          <w:sz w:val="24"/>
          <w:szCs w:val="24"/>
        </w:rPr>
        <w:t xml:space="preserve">قد يستدعي الأمر أيضاً إدراج أمر رئيسي للتدقيق (KAM) نظراً لكون Falcon Holdings شركة مدرجة، لتوضيح كيفية معالجة مسألة الطرف ذي العلاقة، حتى لو تم حلها أو كانت غير جوهرية في النهاية.</w:t>
      </w:r>
    </w:p>
    <w:p>
      <w:r>
        <w:br w:type="page"/>
      </w:r>
    </w:p>
    <w:p>
      <w:pPr>
        <w:pStyle w:val="Heading1"/>
        <w:pBdr>
          <w:left w:val="single" w:color="1F3864" w:sz="24" w:space="8"/>
        </w:pBdr>
        <w:spacing w:after="40" w:before="340"/>
        <w:ind w:left="120"/>
      </w:pPr>
      <w:r>
        <w:rPr>
          <w:rFonts w:ascii="Cambria" w:cs="Cambria" w:eastAsia="Cambria" w:hAnsi="Cambria"/>
          <w:b/>
          <w:bCs/>
          <w:color w:val="1F3864"/>
        </w:rPr>
        <w:t xml:space="preserve">Appendix: Quick ISA Reference Table</w:t>
      </w:r>
    </w:p>
    <w:p>
      <w:pPr>
        <w:bidi/>
        <w:spacing w:after="180"/>
        <w:jc w:val="right"/>
      </w:pPr>
      <w:r>
        <w:rPr>
          <w:rFonts w:ascii="Arial" w:cs="Arial" w:eastAsia="Arial" w:hAnsi="Arial"/>
          <w:b/>
          <w:bCs/>
          <w:color w:val="1F3864"/>
          <w:sz w:val="24"/>
          <w:szCs w:val="24"/>
        </w:rPr>
        <w:t xml:space="preserve">الملحق: جدول مرجعي سريع لمعايير ISA</w:t>
      </w:r>
    </w:p>
    <w:p>
      <w:pPr>
        <w:pStyle w:val="ListParagraph"/>
        <w:numPr>
          <w:ilvl w:val="0"/>
          <w:numId w:val="2"/>
        </w:numPr>
        <w:spacing w:after="60" w:line="300"/>
      </w:pPr>
      <w:r>
        <w:rPr>
          <w:rFonts w:ascii="Calibri" w:cs="Calibri" w:eastAsia="Calibri" w:hAnsi="Calibri"/>
          <w:sz w:val="23"/>
          <w:szCs w:val="23"/>
        </w:rPr>
        <w:t xml:space="preserve">ISA 200 — Overall objectives of the independent auditor</w:t>
      </w:r>
    </w:p>
    <w:p>
      <w:pPr>
        <w:pStyle w:val="ListParagraph"/>
        <w:numPr>
          <w:ilvl w:val="0"/>
          <w:numId w:val="2"/>
        </w:numPr>
        <w:bidi/>
        <w:spacing w:after="170" w:line="320"/>
        <w:jc w:val="right"/>
      </w:pPr>
      <w:r>
        <w:rPr>
          <w:rFonts w:ascii="Arial" w:cs="Arial" w:eastAsia="Arial" w:hAnsi="Arial"/>
          <w:color w:val="5B6472"/>
          <w:sz w:val="24"/>
          <w:szCs w:val="24"/>
        </w:rPr>
        <w:t xml:space="preserve">ISA 200 — الأهداف العامة للمدقق المستقل</w:t>
      </w:r>
    </w:p>
    <w:p>
      <w:pPr>
        <w:pStyle w:val="ListParagraph"/>
        <w:numPr>
          <w:ilvl w:val="0"/>
          <w:numId w:val="2"/>
        </w:numPr>
        <w:spacing w:after="60" w:line="300"/>
      </w:pPr>
      <w:r>
        <w:rPr>
          <w:rFonts w:ascii="Calibri" w:cs="Calibri" w:eastAsia="Calibri" w:hAnsi="Calibri"/>
          <w:sz w:val="23"/>
          <w:szCs w:val="23"/>
        </w:rPr>
        <w:t xml:space="preserve">ISA 230 — Audit documentation</w:t>
      </w:r>
    </w:p>
    <w:p>
      <w:pPr>
        <w:pStyle w:val="ListParagraph"/>
        <w:numPr>
          <w:ilvl w:val="0"/>
          <w:numId w:val="2"/>
        </w:numPr>
        <w:bidi/>
        <w:spacing w:after="170" w:line="320"/>
        <w:jc w:val="right"/>
      </w:pPr>
      <w:r>
        <w:rPr>
          <w:rFonts w:ascii="Arial" w:cs="Arial" w:eastAsia="Arial" w:hAnsi="Arial"/>
          <w:color w:val="5B6472"/>
          <w:sz w:val="24"/>
          <w:szCs w:val="24"/>
        </w:rPr>
        <w:t xml:space="preserve">ISA 230 — توثيق التدقيق</w:t>
      </w:r>
    </w:p>
    <w:p>
      <w:pPr>
        <w:pStyle w:val="ListParagraph"/>
        <w:numPr>
          <w:ilvl w:val="0"/>
          <w:numId w:val="2"/>
        </w:numPr>
        <w:spacing w:after="60" w:line="300"/>
      </w:pPr>
      <w:r>
        <w:rPr>
          <w:rFonts w:ascii="Calibri" w:cs="Calibri" w:eastAsia="Calibri" w:hAnsi="Calibri"/>
          <w:sz w:val="23"/>
          <w:szCs w:val="23"/>
        </w:rPr>
        <w:t xml:space="preserve">ISA 240 — Fraud</w:t>
      </w:r>
    </w:p>
    <w:p>
      <w:pPr>
        <w:pStyle w:val="ListParagraph"/>
        <w:numPr>
          <w:ilvl w:val="0"/>
          <w:numId w:val="2"/>
        </w:numPr>
        <w:bidi/>
        <w:spacing w:after="170" w:line="320"/>
        <w:jc w:val="right"/>
      </w:pPr>
      <w:r>
        <w:rPr>
          <w:rFonts w:ascii="Arial" w:cs="Arial" w:eastAsia="Arial" w:hAnsi="Arial"/>
          <w:color w:val="5B6472"/>
          <w:sz w:val="24"/>
          <w:szCs w:val="24"/>
        </w:rPr>
        <w:t xml:space="preserve">ISA 240 — الاحتيال</w:t>
      </w:r>
    </w:p>
    <w:p>
      <w:pPr>
        <w:pStyle w:val="ListParagraph"/>
        <w:numPr>
          <w:ilvl w:val="0"/>
          <w:numId w:val="2"/>
        </w:numPr>
        <w:spacing w:after="60" w:line="300"/>
      </w:pPr>
      <w:r>
        <w:rPr>
          <w:rFonts w:ascii="Calibri" w:cs="Calibri" w:eastAsia="Calibri" w:hAnsi="Calibri"/>
          <w:sz w:val="23"/>
          <w:szCs w:val="23"/>
        </w:rPr>
        <w:t xml:space="preserve">ISA 250 — Laws and regulations</w:t>
      </w:r>
    </w:p>
    <w:p>
      <w:pPr>
        <w:pStyle w:val="ListParagraph"/>
        <w:numPr>
          <w:ilvl w:val="0"/>
          <w:numId w:val="2"/>
        </w:numPr>
        <w:bidi/>
        <w:spacing w:after="170" w:line="320"/>
        <w:jc w:val="right"/>
      </w:pPr>
      <w:r>
        <w:rPr>
          <w:rFonts w:ascii="Arial" w:cs="Arial" w:eastAsia="Arial" w:hAnsi="Arial"/>
          <w:color w:val="5B6472"/>
          <w:sz w:val="24"/>
          <w:szCs w:val="24"/>
        </w:rPr>
        <w:t xml:space="preserve">ISA 250 — القوانين والأنظمة</w:t>
      </w:r>
    </w:p>
    <w:p>
      <w:pPr>
        <w:pStyle w:val="ListParagraph"/>
        <w:numPr>
          <w:ilvl w:val="0"/>
          <w:numId w:val="2"/>
        </w:numPr>
        <w:spacing w:after="60" w:line="300"/>
      </w:pPr>
      <w:r>
        <w:rPr>
          <w:rFonts w:ascii="Calibri" w:cs="Calibri" w:eastAsia="Calibri" w:hAnsi="Calibri"/>
          <w:sz w:val="23"/>
          <w:szCs w:val="23"/>
        </w:rPr>
        <w:t xml:space="preserve">ISA 265 — Communicating deficiencies in internal control</w:t>
      </w:r>
    </w:p>
    <w:p>
      <w:pPr>
        <w:pStyle w:val="ListParagraph"/>
        <w:numPr>
          <w:ilvl w:val="0"/>
          <w:numId w:val="2"/>
        </w:numPr>
        <w:bidi/>
        <w:spacing w:after="170" w:line="320"/>
        <w:jc w:val="right"/>
      </w:pPr>
      <w:r>
        <w:rPr>
          <w:rFonts w:ascii="Arial" w:cs="Arial" w:eastAsia="Arial" w:hAnsi="Arial"/>
          <w:color w:val="5B6472"/>
          <w:sz w:val="24"/>
          <w:szCs w:val="24"/>
        </w:rPr>
        <w:t xml:space="preserve">ISA 265 — إبلاغ أوجه القصور في الرقابة الداخلية</w:t>
      </w:r>
    </w:p>
    <w:p>
      <w:pPr>
        <w:pStyle w:val="ListParagraph"/>
        <w:numPr>
          <w:ilvl w:val="0"/>
          <w:numId w:val="2"/>
        </w:numPr>
        <w:spacing w:after="60" w:line="300"/>
      </w:pPr>
      <w:r>
        <w:rPr>
          <w:rFonts w:ascii="Calibri" w:cs="Calibri" w:eastAsia="Calibri" w:hAnsi="Calibri"/>
          <w:sz w:val="23"/>
          <w:szCs w:val="23"/>
        </w:rPr>
        <w:t xml:space="preserve">ISA 300 — Planning an audit</w:t>
      </w:r>
    </w:p>
    <w:p>
      <w:pPr>
        <w:pStyle w:val="ListParagraph"/>
        <w:numPr>
          <w:ilvl w:val="0"/>
          <w:numId w:val="2"/>
        </w:numPr>
        <w:bidi/>
        <w:spacing w:after="170" w:line="320"/>
        <w:jc w:val="right"/>
      </w:pPr>
      <w:r>
        <w:rPr>
          <w:rFonts w:ascii="Arial" w:cs="Arial" w:eastAsia="Arial" w:hAnsi="Arial"/>
          <w:color w:val="5B6472"/>
          <w:sz w:val="24"/>
          <w:szCs w:val="24"/>
        </w:rPr>
        <w:t xml:space="preserve">ISA 300 — تخطيط التدقيق</w:t>
      </w:r>
    </w:p>
    <w:p>
      <w:pPr>
        <w:pStyle w:val="ListParagraph"/>
        <w:numPr>
          <w:ilvl w:val="0"/>
          <w:numId w:val="2"/>
        </w:numPr>
        <w:spacing w:after="60" w:line="300"/>
      </w:pPr>
      <w:r>
        <w:rPr>
          <w:rFonts w:ascii="Calibri" w:cs="Calibri" w:eastAsia="Calibri" w:hAnsi="Calibri"/>
          <w:sz w:val="23"/>
          <w:szCs w:val="23"/>
        </w:rPr>
        <w:t xml:space="preserve">ISA 315 — Identifying and assessing risks of material misstatement</w:t>
      </w:r>
    </w:p>
    <w:p>
      <w:pPr>
        <w:pStyle w:val="ListParagraph"/>
        <w:numPr>
          <w:ilvl w:val="0"/>
          <w:numId w:val="2"/>
        </w:numPr>
        <w:bidi/>
        <w:spacing w:after="170" w:line="320"/>
        <w:jc w:val="right"/>
      </w:pPr>
      <w:r>
        <w:rPr>
          <w:rFonts w:ascii="Arial" w:cs="Arial" w:eastAsia="Arial" w:hAnsi="Arial"/>
          <w:color w:val="5B6472"/>
          <w:sz w:val="24"/>
          <w:szCs w:val="24"/>
        </w:rPr>
        <w:t xml:space="preserve">ISA 315 — تحديد وتقييم مخاطر التحريف الجوهري</w:t>
      </w:r>
    </w:p>
    <w:p>
      <w:pPr>
        <w:pStyle w:val="ListParagraph"/>
        <w:numPr>
          <w:ilvl w:val="0"/>
          <w:numId w:val="2"/>
        </w:numPr>
        <w:spacing w:after="60" w:line="300"/>
      </w:pPr>
      <w:r>
        <w:rPr>
          <w:rFonts w:ascii="Calibri" w:cs="Calibri" w:eastAsia="Calibri" w:hAnsi="Calibri"/>
          <w:sz w:val="23"/>
          <w:szCs w:val="23"/>
        </w:rPr>
        <w:t xml:space="preserve">ISA 320 — Materiality in planning and performing an audit</w:t>
      </w:r>
    </w:p>
    <w:p>
      <w:pPr>
        <w:pStyle w:val="ListParagraph"/>
        <w:numPr>
          <w:ilvl w:val="0"/>
          <w:numId w:val="2"/>
        </w:numPr>
        <w:bidi/>
        <w:spacing w:after="170" w:line="320"/>
        <w:jc w:val="right"/>
      </w:pPr>
      <w:r>
        <w:rPr>
          <w:rFonts w:ascii="Arial" w:cs="Arial" w:eastAsia="Arial" w:hAnsi="Arial"/>
          <w:color w:val="5B6472"/>
          <w:sz w:val="24"/>
          <w:szCs w:val="24"/>
        </w:rPr>
        <w:t xml:space="preserve">ISA 320 — الأهمية النسبية في التخطيط والتنفيذ</w:t>
      </w:r>
    </w:p>
    <w:p>
      <w:pPr>
        <w:pStyle w:val="ListParagraph"/>
        <w:numPr>
          <w:ilvl w:val="0"/>
          <w:numId w:val="2"/>
        </w:numPr>
        <w:spacing w:after="60" w:line="300"/>
      </w:pPr>
      <w:r>
        <w:rPr>
          <w:rFonts w:ascii="Calibri" w:cs="Calibri" w:eastAsia="Calibri" w:hAnsi="Calibri"/>
          <w:sz w:val="23"/>
          <w:szCs w:val="23"/>
        </w:rPr>
        <w:t xml:space="preserve">ISA 402 — Audit considerations relating to service organisations</w:t>
      </w:r>
    </w:p>
    <w:p>
      <w:pPr>
        <w:pStyle w:val="ListParagraph"/>
        <w:numPr>
          <w:ilvl w:val="0"/>
          <w:numId w:val="2"/>
        </w:numPr>
        <w:bidi/>
        <w:spacing w:after="170" w:line="320"/>
        <w:jc w:val="right"/>
      </w:pPr>
      <w:r>
        <w:rPr>
          <w:rFonts w:ascii="Arial" w:cs="Arial" w:eastAsia="Arial" w:hAnsi="Arial"/>
          <w:color w:val="5B6472"/>
          <w:sz w:val="24"/>
          <w:szCs w:val="24"/>
        </w:rPr>
        <w:t xml:space="preserve">ISA 402 — اعتبارات التدقيق المتعلقة بمؤسسات الخدمات</w:t>
      </w:r>
    </w:p>
    <w:p>
      <w:pPr>
        <w:pStyle w:val="ListParagraph"/>
        <w:numPr>
          <w:ilvl w:val="0"/>
          <w:numId w:val="2"/>
        </w:numPr>
        <w:spacing w:after="60" w:line="300"/>
      </w:pPr>
      <w:r>
        <w:rPr>
          <w:rFonts w:ascii="Calibri" w:cs="Calibri" w:eastAsia="Calibri" w:hAnsi="Calibri"/>
          <w:sz w:val="23"/>
          <w:szCs w:val="23"/>
        </w:rPr>
        <w:t xml:space="preserve">ISA 500 — Audit evidence</w:t>
      </w:r>
    </w:p>
    <w:p>
      <w:pPr>
        <w:pStyle w:val="ListParagraph"/>
        <w:numPr>
          <w:ilvl w:val="0"/>
          <w:numId w:val="2"/>
        </w:numPr>
        <w:bidi/>
        <w:spacing w:after="170" w:line="320"/>
        <w:jc w:val="right"/>
      </w:pPr>
      <w:r>
        <w:rPr>
          <w:rFonts w:ascii="Arial" w:cs="Arial" w:eastAsia="Arial" w:hAnsi="Arial"/>
          <w:color w:val="5B6472"/>
          <w:sz w:val="24"/>
          <w:szCs w:val="24"/>
        </w:rPr>
        <w:t xml:space="preserve">ISA 500 — أدلة التدقيق</w:t>
      </w:r>
    </w:p>
    <w:p>
      <w:pPr>
        <w:pStyle w:val="ListParagraph"/>
        <w:numPr>
          <w:ilvl w:val="0"/>
          <w:numId w:val="2"/>
        </w:numPr>
        <w:spacing w:after="60" w:line="300"/>
      </w:pPr>
      <w:r>
        <w:rPr>
          <w:rFonts w:ascii="Calibri" w:cs="Calibri" w:eastAsia="Calibri" w:hAnsi="Calibri"/>
          <w:sz w:val="23"/>
          <w:szCs w:val="23"/>
        </w:rPr>
        <w:t xml:space="preserve">ISA 530 — Audit sampling</w:t>
      </w:r>
    </w:p>
    <w:p>
      <w:pPr>
        <w:pStyle w:val="ListParagraph"/>
        <w:numPr>
          <w:ilvl w:val="0"/>
          <w:numId w:val="2"/>
        </w:numPr>
        <w:bidi/>
        <w:spacing w:after="170" w:line="320"/>
        <w:jc w:val="right"/>
      </w:pPr>
      <w:r>
        <w:rPr>
          <w:rFonts w:ascii="Arial" w:cs="Arial" w:eastAsia="Arial" w:hAnsi="Arial"/>
          <w:color w:val="5B6472"/>
          <w:sz w:val="24"/>
          <w:szCs w:val="24"/>
        </w:rPr>
        <w:t xml:space="preserve">ISA 530 — أخذ العينات في التدقيق</w:t>
      </w:r>
    </w:p>
    <w:p>
      <w:pPr>
        <w:pStyle w:val="ListParagraph"/>
        <w:numPr>
          <w:ilvl w:val="0"/>
          <w:numId w:val="2"/>
        </w:numPr>
        <w:spacing w:after="60" w:line="300"/>
      </w:pPr>
      <w:r>
        <w:rPr>
          <w:rFonts w:ascii="Calibri" w:cs="Calibri" w:eastAsia="Calibri" w:hAnsi="Calibri"/>
          <w:sz w:val="23"/>
          <w:szCs w:val="23"/>
        </w:rPr>
        <w:t xml:space="preserve">ISA 550 — Related parties</w:t>
      </w:r>
    </w:p>
    <w:p>
      <w:pPr>
        <w:pStyle w:val="ListParagraph"/>
        <w:numPr>
          <w:ilvl w:val="0"/>
          <w:numId w:val="2"/>
        </w:numPr>
        <w:bidi/>
        <w:spacing w:after="170" w:line="320"/>
        <w:jc w:val="right"/>
      </w:pPr>
      <w:r>
        <w:rPr>
          <w:rFonts w:ascii="Arial" w:cs="Arial" w:eastAsia="Arial" w:hAnsi="Arial"/>
          <w:color w:val="5B6472"/>
          <w:sz w:val="24"/>
          <w:szCs w:val="24"/>
        </w:rPr>
        <w:t xml:space="preserve">ISA 550 — الأطراف ذات العلاقة</w:t>
      </w:r>
    </w:p>
    <w:p>
      <w:pPr>
        <w:pStyle w:val="ListParagraph"/>
        <w:numPr>
          <w:ilvl w:val="0"/>
          <w:numId w:val="2"/>
        </w:numPr>
        <w:spacing w:after="60" w:line="300"/>
      </w:pPr>
      <w:r>
        <w:rPr>
          <w:rFonts w:ascii="Calibri" w:cs="Calibri" w:eastAsia="Calibri" w:hAnsi="Calibri"/>
          <w:sz w:val="23"/>
          <w:szCs w:val="23"/>
        </w:rPr>
        <w:t xml:space="preserve">ISA 560 — Subsequent events</w:t>
      </w:r>
    </w:p>
    <w:p>
      <w:pPr>
        <w:pStyle w:val="ListParagraph"/>
        <w:numPr>
          <w:ilvl w:val="0"/>
          <w:numId w:val="2"/>
        </w:numPr>
        <w:bidi/>
        <w:spacing w:after="170" w:line="320"/>
        <w:jc w:val="right"/>
      </w:pPr>
      <w:r>
        <w:rPr>
          <w:rFonts w:ascii="Arial" w:cs="Arial" w:eastAsia="Arial" w:hAnsi="Arial"/>
          <w:color w:val="5B6472"/>
          <w:sz w:val="24"/>
          <w:szCs w:val="24"/>
        </w:rPr>
        <w:t xml:space="preserve">ISA 560 — الأحداث اللاحقة</w:t>
      </w:r>
    </w:p>
    <w:p>
      <w:pPr>
        <w:pStyle w:val="ListParagraph"/>
        <w:numPr>
          <w:ilvl w:val="0"/>
          <w:numId w:val="2"/>
        </w:numPr>
        <w:spacing w:after="60" w:line="300"/>
      </w:pPr>
      <w:r>
        <w:rPr>
          <w:rFonts w:ascii="Calibri" w:cs="Calibri" w:eastAsia="Calibri" w:hAnsi="Calibri"/>
          <w:sz w:val="23"/>
          <w:szCs w:val="23"/>
        </w:rPr>
        <w:t xml:space="preserve">ISA 570 — Going concern</w:t>
      </w:r>
    </w:p>
    <w:p>
      <w:pPr>
        <w:pStyle w:val="ListParagraph"/>
        <w:numPr>
          <w:ilvl w:val="0"/>
          <w:numId w:val="2"/>
        </w:numPr>
        <w:bidi/>
        <w:spacing w:after="170" w:line="320"/>
        <w:jc w:val="right"/>
      </w:pPr>
      <w:r>
        <w:rPr>
          <w:rFonts w:ascii="Arial" w:cs="Arial" w:eastAsia="Arial" w:hAnsi="Arial"/>
          <w:color w:val="5B6472"/>
          <w:sz w:val="24"/>
          <w:szCs w:val="24"/>
        </w:rPr>
        <w:t xml:space="preserve">ISA 570 — الاستمرارية</w:t>
      </w:r>
    </w:p>
    <w:p>
      <w:pPr>
        <w:pStyle w:val="ListParagraph"/>
        <w:numPr>
          <w:ilvl w:val="0"/>
          <w:numId w:val="2"/>
        </w:numPr>
        <w:spacing w:after="60" w:line="300"/>
      </w:pPr>
      <w:r>
        <w:rPr>
          <w:rFonts w:ascii="Calibri" w:cs="Calibri" w:eastAsia="Calibri" w:hAnsi="Calibri"/>
          <w:sz w:val="23"/>
          <w:szCs w:val="23"/>
        </w:rPr>
        <w:t xml:space="preserve">ISA 580 — Written representations</w:t>
      </w:r>
    </w:p>
    <w:p>
      <w:pPr>
        <w:pStyle w:val="ListParagraph"/>
        <w:numPr>
          <w:ilvl w:val="0"/>
          <w:numId w:val="2"/>
        </w:numPr>
        <w:bidi/>
        <w:spacing w:after="170" w:line="320"/>
        <w:jc w:val="right"/>
      </w:pPr>
      <w:r>
        <w:rPr>
          <w:rFonts w:ascii="Arial" w:cs="Arial" w:eastAsia="Arial" w:hAnsi="Arial"/>
          <w:color w:val="5B6472"/>
          <w:sz w:val="24"/>
          <w:szCs w:val="24"/>
        </w:rPr>
        <w:t xml:space="preserve">ISA 580 — الإقرارات الكتابية</w:t>
      </w:r>
    </w:p>
    <w:p>
      <w:pPr>
        <w:pStyle w:val="ListParagraph"/>
        <w:numPr>
          <w:ilvl w:val="0"/>
          <w:numId w:val="2"/>
        </w:numPr>
        <w:spacing w:after="60" w:line="300"/>
      </w:pPr>
      <w:r>
        <w:rPr>
          <w:rFonts w:ascii="Calibri" w:cs="Calibri" w:eastAsia="Calibri" w:hAnsi="Calibri"/>
          <w:sz w:val="23"/>
          <w:szCs w:val="23"/>
        </w:rPr>
        <w:t xml:space="preserve">ISA 600 — Group audits</w:t>
      </w:r>
    </w:p>
    <w:p>
      <w:pPr>
        <w:pStyle w:val="ListParagraph"/>
        <w:numPr>
          <w:ilvl w:val="0"/>
          <w:numId w:val="2"/>
        </w:numPr>
        <w:bidi/>
        <w:spacing w:after="170" w:line="320"/>
        <w:jc w:val="right"/>
      </w:pPr>
      <w:r>
        <w:rPr>
          <w:rFonts w:ascii="Arial" w:cs="Arial" w:eastAsia="Arial" w:hAnsi="Arial"/>
          <w:color w:val="5B6472"/>
          <w:sz w:val="24"/>
          <w:szCs w:val="24"/>
        </w:rPr>
        <w:t xml:space="preserve">ISA 600 — تدقيق المجموعات</w:t>
      </w:r>
    </w:p>
    <w:p>
      <w:pPr>
        <w:pStyle w:val="ListParagraph"/>
        <w:numPr>
          <w:ilvl w:val="0"/>
          <w:numId w:val="2"/>
        </w:numPr>
        <w:spacing w:after="60" w:line="300"/>
      </w:pPr>
      <w:r>
        <w:rPr>
          <w:rFonts w:ascii="Calibri" w:cs="Calibri" w:eastAsia="Calibri" w:hAnsi="Calibri"/>
          <w:sz w:val="23"/>
          <w:szCs w:val="23"/>
        </w:rPr>
        <w:t xml:space="preserve">ISA 610 — Using the work of internal auditors</w:t>
      </w:r>
    </w:p>
    <w:p>
      <w:pPr>
        <w:pStyle w:val="ListParagraph"/>
        <w:numPr>
          <w:ilvl w:val="0"/>
          <w:numId w:val="2"/>
        </w:numPr>
        <w:bidi/>
        <w:spacing w:after="170" w:line="320"/>
        <w:jc w:val="right"/>
      </w:pPr>
      <w:r>
        <w:rPr>
          <w:rFonts w:ascii="Arial" w:cs="Arial" w:eastAsia="Arial" w:hAnsi="Arial"/>
          <w:color w:val="5B6472"/>
          <w:sz w:val="24"/>
          <w:szCs w:val="24"/>
        </w:rPr>
        <w:t xml:space="preserve">ISA 610 — الاستعانة بعمل المدققين الداخليين</w:t>
      </w:r>
    </w:p>
    <w:p>
      <w:pPr>
        <w:pStyle w:val="ListParagraph"/>
        <w:numPr>
          <w:ilvl w:val="0"/>
          <w:numId w:val="2"/>
        </w:numPr>
        <w:spacing w:after="60" w:line="300"/>
      </w:pPr>
      <w:r>
        <w:rPr>
          <w:rFonts w:ascii="Calibri" w:cs="Calibri" w:eastAsia="Calibri" w:hAnsi="Calibri"/>
          <w:sz w:val="23"/>
          <w:szCs w:val="23"/>
        </w:rPr>
        <w:t xml:space="preserve">ISA 620 — Using the work of an auditor's expert</w:t>
      </w:r>
    </w:p>
    <w:p>
      <w:pPr>
        <w:pStyle w:val="ListParagraph"/>
        <w:numPr>
          <w:ilvl w:val="0"/>
          <w:numId w:val="2"/>
        </w:numPr>
        <w:bidi/>
        <w:spacing w:after="170" w:line="320"/>
        <w:jc w:val="right"/>
      </w:pPr>
      <w:r>
        <w:rPr>
          <w:rFonts w:ascii="Arial" w:cs="Arial" w:eastAsia="Arial" w:hAnsi="Arial"/>
          <w:color w:val="5B6472"/>
          <w:sz w:val="24"/>
          <w:szCs w:val="24"/>
        </w:rPr>
        <w:t xml:space="preserve">ISA 620 — الاستعانة بعمل خبير المدقق</w:t>
      </w:r>
    </w:p>
    <w:p>
      <w:pPr>
        <w:pStyle w:val="ListParagraph"/>
        <w:numPr>
          <w:ilvl w:val="0"/>
          <w:numId w:val="2"/>
        </w:numPr>
        <w:spacing w:after="60" w:line="300"/>
      </w:pPr>
      <w:r>
        <w:rPr>
          <w:rFonts w:ascii="Calibri" w:cs="Calibri" w:eastAsia="Calibri" w:hAnsi="Calibri"/>
          <w:sz w:val="23"/>
          <w:szCs w:val="23"/>
        </w:rPr>
        <w:t xml:space="preserve">ISA 700/705/706 — Forming an opinion and reporting, modifications, EOM/OM paragraphs</w:t>
      </w:r>
    </w:p>
    <w:p>
      <w:pPr>
        <w:pStyle w:val="ListParagraph"/>
        <w:numPr>
          <w:ilvl w:val="0"/>
          <w:numId w:val="2"/>
        </w:numPr>
        <w:bidi/>
        <w:spacing w:after="170" w:line="320"/>
        <w:jc w:val="right"/>
      </w:pPr>
      <w:r>
        <w:rPr>
          <w:rFonts w:ascii="Arial" w:cs="Arial" w:eastAsia="Arial" w:hAnsi="Arial"/>
          <w:color w:val="5B6472"/>
          <w:sz w:val="24"/>
          <w:szCs w:val="24"/>
        </w:rPr>
        <w:t xml:space="preserve">ISA 700/705/706 — تكوين الرأي وإعداد التقرير، التعديلات، فقرات لفت الانتباه والأمور الأخرى</w:t>
      </w:r>
    </w:p>
    <w:p>
      <w:pPr>
        <w:pStyle w:val="ListParagraph"/>
        <w:numPr>
          <w:ilvl w:val="0"/>
          <w:numId w:val="2"/>
        </w:numPr>
        <w:spacing w:after="60" w:line="300"/>
      </w:pPr>
      <w:r>
        <w:rPr>
          <w:rFonts w:ascii="Calibri" w:cs="Calibri" w:eastAsia="Calibri" w:hAnsi="Calibri"/>
          <w:sz w:val="23"/>
          <w:szCs w:val="23"/>
        </w:rPr>
        <w:t xml:space="preserve">ISA 701 — Key audit matters</w:t>
      </w:r>
    </w:p>
    <w:p>
      <w:pPr>
        <w:pStyle w:val="ListParagraph"/>
        <w:numPr>
          <w:ilvl w:val="0"/>
          <w:numId w:val="2"/>
        </w:numPr>
        <w:bidi/>
        <w:spacing w:after="170" w:line="320"/>
        <w:jc w:val="right"/>
      </w:pPr>
      <w:r>
        <w:rPr>
          <w:rFonts w:ascii="Arial" w:cs="Arial" w:eastAsia="Arial" w:hAnsi="Arial"/>
          <w:color w:val="5B6472"/>
          <w:sz w:val="24"/>
          <w:szCs w:val="24"/>
        </w:rPr>
        <w:t xml:space="preserve">ISA 701 — الأمور الرئيسية للتدقيق</w:t>
      </w:r>
    </w:p>
    <w:p>
      <w:pPr>
        <w:pStyle w:val="ListParagraph"/>
        <w:numPr>
          <w:ilvl w:val="0"/>
          <w:numId w:val="2"/>
        </w:numPr>
        <w:spacing w:after="60" w:line="300"/>
      </w:pPr>
      <w:r>
        <w:rPr>
          <w:rFonts w:ascii="Calibri" w:cs="Calibri" w:eastAsia="Calibri" w:hAnsi="Calibri"/>
          <w:sz w:val="23"/>
          <w:szCs w:val="23"/>
        </w:rPr>
        <w:t xml:space="preserve">ISQM 1 / ISQM 2 — Quality management at the firm level / engagement quality reviews</w:t>
      </w:r>
    </w:p>
    <w:p>
      <w:pPr>
        <w:pStyle w:val="ListParagraph"/>
        <w:numPr>
          <w:ilvl w:val="0"/>
          <w:numId w:val="2"/>
        </w:numPr>
        <w:bidi/>
        <w:spacing w:after="170" w:line="320"/>
        <w:jc w:val="right"/>
      </w:pPr>
      <w:r>
        <w:rPr>
          <w:rFonts w:ascii="Arial" w:cs="Arial" w:eastAsia="Arial" w:hAnsi="Arial"/>
          <w:color w:val="5B6472"/>
          <w:sz w:val="24"/>
          <w:szCs w:val="24"/>
        </w:rPr>
        <w:t xml:space="preserve">ISQM 1 / ISQM 2 — إدارة الجودة على مستوى المكتب / مراجعات جودة المهمة</w:t>
      </w:r>
    </w:p>
    <w:p>
      <w:pPr>
        <w:spacing w:before="500"/>
      </w:pPr>
    </w:p>
    <w:p>
      <w:pPr>
        <w:pBdr>
          <w:bottom w:val="single" w:color="B8912F" w:sz="8" w:space="1"/>
        </w:pBdr>
        <w:spacing w:after="40" w:before="40"/>
        <w:jc w:val="center"/>
      </w:pPr>
      <w:r>
        <w:rPr>
          <w:sz w:val="2"/>
          <w:szCs w:val="2"/>
        </w:rPr>
        <w:t xml:space="preserve"/>
      </w:r>
    </w:p>
    <w:p>
      <w:pPr>
        <w:bidi/>
        <w:spacing w:after="60" w:before="200"/>
        <w:jc w:val="center"/>
      </w:pPr>
      <w:r>
        <w:rPr>
          <w:rFonts w:ascii="Arial" w:cs="Arial" w:eastAsia="Arial" w:hAnsi="Arial"/>
          <w:i/>
          <w:iCs/>
          <w:color w:val="5B6472"/>
          <w:sz w:val="22"/>
          <w:szCs w:val="22"/>
        </w:rPr>
        <w:t xml:space="preserve">صُمم هذا الكتاب للتعلّم والتطوير والمساعدة في اجتياز الاختبارات الدراسية والمهنية.</w:t>
      </w:r>
    </w:p>
    <w:p>
      <w:pPr>
        <w:spacing w:before="120"/>
        <w:jc w:val="center"/>
      </w:pPr>
      <w:r>
        <w:rPr>
          <w:rFonts w:ascii="Calibri" w:cs="Calibri" w:eastAsia="Calibri" w:hAnsi="Calibri"/>
          <w:b/>
          <w:bCs/>
          <w:i/>
          <w:iCs/>
          <w:color w:val="1F3864"/>
          <w:sz w:val="22"/>
          <w:szCs w:val="22"/>
        </w:rPr>
        <w:t xml:space="preserve">Built with passion by Reham Hamdy Elsayed Khedr</w:t>
      </w:r>
    </w:p>
    <w:sectPr>
      <w:headerReference w:type="default" r:id="rId7"/>
      <w:footerReference w:type="default" r:id="rId8"/>
      <w:pgSz w:w="12240" w:h="15840" w:orient="portrait"/>
      <w:pgMar w:top="1200" w:right="1100" w:bottom="1100" w:left="11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12F" w:sz="6" w:space="4"/>
      </w:pBdr>
      <w:jc w:val="center"/>
    </w:pPr>
    <w:r>
      <w:rPr>
        <w:rFonts w:ascii="Calibri" w:cs="Calibri" w:eastAsia="Calibri" w:hAnsi="Calibri"/>
        <w:b/>
        <w:bCs/>
        <w:color w:val="1F3864"/>
        <w:sz w:val="20"/>
        <w:szCs w:val="20"/>
      </w:rPr>
      <w:t xml:space="preserve">Page </w:t>
    </w:r>
    <w:r>
      <w:rPr>
        <w:rFonts w:ascii="Calibri" w:cs="Calibri" w:eastAsia="Calibri" w:hAnsi="Calibri"/>
        <w:b/>
        <w:bCs/>
        <w:color w:val="1F3864"/>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F" w:sz="6" w:space="4"/>
      </w:pBdr>
      <w:jc w:val="center"/>
    </w:pPr>
    <w:r>
      <w:rPr>
        <w:rFonts w:ascii="Calibri" w:cs="Calibri" w:eastAsia="Calibri" w:hAnsi="Calibri"/>
        <w:b/>
        <w:bCs/>
        <w:color w:val="5B6472"/>
        <w:sz w:val="18"/>
        <w:szCs w:val="18"/>
      </w:rPr>
      <w:t xml:space="preserve">MATERIALITY  —  ACCA  ·  AA &amp; AAA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rPr>
        <w:color w:val="B8912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F3864"/>
      <w:sz w:val="36"/>
      <w:szCs w:val="36"/>
    </w:rPr>
  </w:style>
  <w:style w:type="paragraph" w:styleId="Heading2">
    <w:name w:val="Heading 2"/>
    <w:basedOn w:val="Normal"/>
    <w:next w:val="Normal"/>
    <w:qFormat/>
    <w:rPr>
      <w:rFonts w:ascii="Cambria" w:cs="Cambria" w:eastAsia="Cambria" w:hAnsi="Cambria"/>
      <w:b/>
      <w:bCs/>
      <w:color w:val="1F3864"/>
      <w:sz w:val="30"/>
      <w:szCs w:val="30"/>
    </w:rPr>
  </w:style>
  <w:style w:type="paragraph" w:styleId="Heading3">
    <w:name w:val="Heading 3"/>
    <w:basedOn w:val="Normal"/>
    <w:next w:val="Normal"/>
    <w:qFormat/>
    <w:rPr>
      <w:rFonts w:ascii="Cambria" w:cs="Cambria" w:eastAsia="Cambria" w:hAnsi="Cambria"/>
      <w:b/>
      <w:bCs/>
      <w:color w:val="B8912F"/>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d8150b0958dec94e729a78527e9fa105b8a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2026-08-24T14:16:38.729Z</dcterms:created>
  <dcterms:modified xsi:type="dcterms:W3CDTF">2026-08-24T14:16:38.743Z</dcterms:modified>
</cp:coreProperties>
</file>

<file path=docProps/custom.xml><?xml version="1.0" encoding="utf-8"?>
<Properties xmlns="http://schemas.openxmlformats.org/officeDocument/2006/custom-properties" xmlns:vt="http://schemas.openxmlformats.org/officeDocument/2006/docPropsVTypes"/>
</file>