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i w:val="0"/>
          <w:color w:val="B8860B"/>
          <w:sz w:val="40"/>
        </w:rPr>
        <w:t>RG-Gold</w:t>
      </w:r>
    </w:p>
    <w:p>
      <w:pPr>
        <w:spacing w:before="0" w:after="200"/>
        <w:jc w:val="left"/>
      </w:pPr>
      <w:r>
        <w:rPr>
          <w:b w:val="0"/>
          <w:i w:val="0"/>
          <w:color w:val="555555"/>
          <w:sz w:val="20"/>
        </w:rPr>
        <w:t>Гидрогеологическая служба · Карьер ЮРГ</w:t>
      </w:r>
    </w:p>
    <w:p>
      <w:pPr>
        <w:spacing w:before="0" w:after="200"/>
        <w:pBdr>
          <w:bottom w:val="single" w:sz="12" w:space="1" w:color="0D1B2A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>
            <w:r>
              <w:rPr>
                <w:b/>
                <w:i w:val="0"/>
                <w:color w:val="B8860B"/>
                <w:sz w:val="20"/>
              </w:rPr>
              <w:t>РАЦИОНАЛИЗАТОРСКОЕ ПРЕДЛОЖЕНИЕ</w:t>
            </w:r>
          </w:p>
        </w:tc>
        <w:tc>
          <w:tcPr>
            <w:tcW w:type="dxa" w:w="4819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555555"/>
                <w:sz w:val="20"/>
              </w:rPr>
              <w:t>Дата: май 2026 г.</w:t>
            </w:r>
          </w:p>
        </w:tc>
      </w:tr>
    </w:tbl>
    <w:p>
      <w:pPr>
        <w:spacing w:after="80"/>
      </w:pPr>
    </w:p>
    <w:p>
      <w:pPr>
        <w:spacing w:before="160" w:after="80"/>
        <w:jc w:val="center"/>
      </w:pPr>
      <w:r>
        <w:rPr>
          <w:b/>
          <w:color w:val="0D1B2A"/>
          <w:sz w:val="32"/>
        </w:rPr>
        <w:t>ЦИФРОВАЯ ПЛАТФОРМА МОНИТОРИНГА ШАХТНЫХ ВОД</w:t>
        <w:br/>
        <w:t>КАРЬЕРА ЮРГ КОМПАНИИ RG-GOLD</w:t>
      </w:r>
    </w:p>
    <w:p>
      <w:pPr>
        <w:spacing w:after="320"/>
        <w:jc w:val="center"/>
      </w:pPr>
      <w:r>
        <w:rPr>
          <w:b w:val="0"/>
          <w:i/>
          <w:color w:val="555555"/>
          <w:sz w:val="22"/>
        </w:rPr>
        <w:t>Автоматизация сбора, хранения, аналитики и ИИ-отчётности гидрогеологических данных</w:t>
      </w: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1. СУТЬ ПРЕДЛОЖЕНИЯ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Предлагается внедрение специализированной веб-платформы для автоматизации сбора, хранения, визуализации и аналитической обработки данных гидрогеологического мониторинга карьера ЮРГ. Платформа заменяет бумажный документооборот и ручную обработку данных в таблицах на единую цифровую среду с интерактивными картами, структурированной базой данных, аналитическими инструментами в реальном времени и автоматической генерацией профессиональных отчётов на основе искусственного интеллекта.</w:t>
      </w: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2. СУЩЕСТВУЮЩЕЕ ПОЛОЖЕНИЕ ДЕЛ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До внедрения платформы процесс мониторинга шахтных вод включал следующие этапы, каждый из которых нёс риски снижения качества данных: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Обходчики фиксировали замеры в бумажных журналах или в произвольных таблицах Excel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Перенос данных в сводные документы производился вручную — основной источник ошибок при переписке показаний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Отсутствовала единая база данных: информация по разным обходам хранилась в разрозненных файлах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Анализ трендов и сравнение периодов требовали значительных временных затрат специалиста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Местоположение точек мониторинга не было привязано к актуальной горной карте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Руководство не имело оперативного доступа к данным о гидрогеологической обстановке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Формирование отчётов занимало значительное рабочее время при высоком риске несоответствия текста реальным данным</w:t>
      </w: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3. КОНЦЕПЦИЯ ПЛАТФОРМЫ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Цифровая платформа мониторинга шахтных вод — это браузерное веб-приложение, работающее на основе облачной базы данных. Доступ осуществляется с любого устройства (ПК, планшет, смартфон) без установки программного обеспечения. Платформа реализована на основе стека современных открытых технологий: JavaScript, HTML5, PostgreSQL (Supabase), Anthropic Claude API.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F0FE"/>
            <w:tcBorders>
              <w:top w:val="none"/>
              <w:bottom w:val="none"/>
              <w:right w:val="none"/>
              <w:left w:val="single" w:sz="24" w:space="0" w:color="1A73E8"/>
            </w:tcBorders>
          </w:tcPr>
          <w:p>
            <w:pPr>
              <w:spacing w:before="80" w:after="80"/>
              <w:ind w:left="170" w:right="170"/>
            </w:pPr>
            <w:r>
              <w:rPr>
                <w:b/>
                <w:i w:val="0"/>
                <w:color w:val="1A73E8"/>
                <w:sz w:val="22"/>
              </w:rPr>
              <w:t>Архитектурные принципы:</w:t>
            </w:r>
            <w:r>
              <w:rPr>
                <w:b w:val="0"/>
                <w:i w:val="0"/>
                <w:sz w:val="22"/>
              </w:rPr>
              <w:t xml:space="preserve"> Единая централизованная база данных · ролевая система доступа (администратор / гидрогеолог / наблюдатель) · интерактивная геопривязанная карта как основа интерфейса · автоматическое формирование аналитики при внесении данных · работа в браузере без установки ПО</w:t>
            </w:r>
          </w:p>
        </w:tc>
      </w:tr>
    </w:tbl>
    <w:p>
      <w:pPr>
        <w:spacing w:after="40"/>
      </w:pP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4. ВОЗМОЖНОСТИ ПЛАТФОРМЫ</w:t>
      </w:r>
    </w:p>
    <w:p>
      <w:pPr>
        <w:spacing w:before="160" w:after="60"/>
        <w:jc w:val="left"/>
      </w:pPr>
      <w:r>
        <w:rPr>
          <w:b/>
          <w:color w:val="0D1B2A"/>
          <w:sz w:val="23"/>
        </w:rPr>
        <w:t>4.1  Модуль «Карта мониторинга»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Интерактивная карта с нанесёнными точками мониторинга и горизонтальными скважинами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Цветовая индикация статуса каждой точки в реальном времени: Активная / Паводковая / Иссякает / Пересохла / Новая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Визуальный прогресс текущего обхода — замеренные точки (зелёный цвет), незамеренные (серый)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Тепловая карта дебитов (Heatmap): наглядное распределение водопритоков по площади карьера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Фильтрация по дате мониторинга, домену, борту, горизонту</w:t>
      </w:r>
    </w:p>
    <w:p>
      <w:pPr>
        <w:spacing w:before="160" w:after="60"/>
        <w:jc w:val="left"/>
      </w:pPr>
      <w:r>
        <w:rPr>
          <w:b/>
          <w:color w:val="0D1B2A"/>
          <w:sz w:val="23"/>
        </w:rPr>
        <w:t>4.2  Модуль «Точки интереса»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База точек мониторинга с паспортными данными: номер, домен, борт, горизонт, координаты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Внесение замеров: дебит (л/с и м³/ч), статус, ответственный сотрудник, комментарий, фотофиксация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Полная история измерений по каждой точке с графиками динамики</w:t>
      </w:r>
    </w:p>
    <w:p>
      <w:pPr>
        <w:spacing w:before="160" w:after="60"/>
        <w:jc w:val="left"/>
      </w:pPr>
      <w:r>
        <w:rPr>
          <w:b/>
          <w:color w:val="0D1B2A"/>
          <w:sz w:val="23"/>
        </w:rPr>
        <w:t>4.3  Модуль «Скважины»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Учёт горизонтальных дренажных скважин: глубина, азимут, угол наклона, горизонт, борт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Замеры дебита по скважинам с привязкой к неделе мониторинга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Статусная система: Активная / Иссякает / Сухая</w:t>
      </w:r>
    </w:p>
    <w:p>
      <w:pPr>
        <w:spacing w:before="160" w:after="60"/>
        <w:jc w:val="left"/>
      </w:pPr>
      <w:r>
        <w:rPr>
          <w:b/>
          <w:color w:val="0D1B2A"/>
          <w:sz w:val="23"/>
        </w:rPr>
        <w:t>4.4  Модуль «Аналитика»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KPI-панель: суммарный дебит (точки + скважины), покрытие обхода, иссякающие точки — с динамикой к предыдущему периоду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График тренда дебита за последние 12 обходов с плавными кривыми и зонами заливки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Система алертов: автоматическое выявление резкого роста дебита, незамеренных точек, смены статуса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Распределение по 8 бортам карьера с визуализацией вклада каждого борта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Матрица «Домен × Статус» — структурный анализ точек по областям карьера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Таблица горизонтов — сравнение дебитов за 3 периода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Аналитика скважин: рейтинг по дебиту, тренды, KPI за выбранную неделю мониторинга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Экспорт данных в форматы CSV и Excel (XLSX)</w:t>
      </w:r>
    </w:p>
    <w:p>
      <w:pPr>
        <w:spacing w:before="160" w:after="60"/>
        <w:jc w:val="left"/>
      </w:pPr>
      <w:r>
        <w:rPr>
          <w:b/>
          <w:color w:val="1A73E8"/>
          <w:sz w:val="23"/>
        </w:rPr>
        <w:t>4.5  Модуль «Автоматическая отчётность с ИИ-анализом» — ключевая инновация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Платформа включает полностью автоматизированный модуль формирования гидрогеологических отчётов. При нажатии одной кнопки система самостоятельно выполняет весь цикл подготовки отчёта:</w:t>
      </w:r>
    </w:p>
    <w:p>
      <w:pPr>
        <w:pStyle w:val="ListNumber"/>
        <w:spacing w:before="20" w:after="40"/>
        <w:ind w:left="283"/>
      </w:pPr>
      <w:r>
        <w:rPr>
          <w:b/>
          <w:i w:val="0"/>
          <w:sz w:val="22"/>
        </w:rPr>
        <w:t xml:space="preserve">Сбор данных — </w:t>
      </w:r>
      <w:r>
        <w:rPr>
          <w:b w:val="0"/>
          <w:i w:val="0"/>
          <w:sz w:val="22"/>
        </w:rPr>
        <w:t>загружает замеры по выбранному периоду (или двум для сравнения): статистику по точкам, горизонтам, доменам, бортам</w:t>
      </w:r>
    </w:p>
    <w:p>
      <w:pPr>
        <w:pStyle w:val="ListNumber"/>
        <w:spacing w:before="20" w:after="40"/>
        <w:ind w:left="283"/>
      </w:pPr>
      <w:r>
        <w:rPr>
          <w:b/>
          <w:i w:val="0"/>
          <w:sz w:val="22"/>
        </w:rPr>
        <w:t xml:space="preserve">Захват схемы карьера — </w:t>
      </w:r>
      <w:r>
        <w:rPr>
          <w:b w:val="0"/>
          <w:i w:val="0"/>
          <w:sz w:val="22"/>
        </w:rPr>
        <w:t>автоматически формирует снимок интерактивной карты с нанесёнными точками мониторинга за выбранную неделю</w:t>
      </w:r>
    </w:p>
    <w:p>
      <w:pPr>
        <w:pStyle w:val="ListNumber"/>
        <w:spacing w:before="20" w:after="40"/>
        <w:ind w:left="283"/>
      </w:pPr>
      <w:r>
        <w:rPr>
          <w:b/>
          <w:i w:val="0"/>
          <w:sz w:val="22"/>
        </w:rPr>
        <w:t xml:space="preserve">Загрузка фотоматериалов — </w:t>
      </w:r>
      <w:r>
        <w:rPr>
          <w:b w:val="0"/>
          <w:i w:val="0"/>
          <w:sz w:val="22"/>
        </w:rPr>
        <w:t>подтягивает фотофиксацию точек из облачного хранилища</w:t>
      </w:r>
    </w:p>
    <w:p>
      <w:pPr>
        <w:pStyle w:val="ListNumber"/>
        <w:spacing w:before="20" w:after="40"/>
        <w:ind w:left="283"/>
      </w:pPr>
      <w:r>
        <w:rPr>
          <w:b/>
          <w:i w:val="0"/>
          <w:sz w:val="22"/>
        </w:rPr>
        <w:t xml:space="preserve">ИИ-анализ (Claude AI) — </w:t>
      </w:r>
      <w:r>
        <w:rPr>
          <w:b w:val="0"/>
          <w:i w:val="0"/>
          <w:sz w:val="22"/>
        </w:rPr>
        <w:t>отправляет фактические данные в языковую модель и получает профессиональный гидрогеологический вывод</w:t>
      </w:r>
    </w:p>
    <w:p>
      <w:pPr>
        <w:pStyle w:val="ListNumber"/>
        <w:spacing w:before="20" w:after="40"/>
        <w:ind w:left="283"/>
      </w:pPr>
      <w:r>
        <w:rPr>
          <w:b/>
          <w:i w:val="0"/>
          <w:sz w:val="22"/>
        </w:rPr>
        <w:t xml:space="preserve">Сборка готового отчёта — </w:t>
      </w:r>
      <w:r>
        <w:rPr>
          <w:b w:val="0"/>
          <w:i w:val="0"/>
          <w:sz w:val="22"/>
        </w:rPr>
        <w:t>формирует структурированный документ, готовый к печати и рассылке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FFBEA"/>
            <w:tcBorders>
              <w:top w:val="none"/>
              <w:bottom w:val="none"/>
              <w:right w:val="none"/>
              <w:left w:val="single" w:sz="24" w:space="0" w:color="B8860B"/>
            </w:tcBorders>
          </w:tcPr>
          <w:p>
            <w:pPr>
              <w:spacing w:before="80" w:after="80"/>
              <w:ind w:left="170" w:right="170"/>
            </w:pPr>
            <w:r>
              <w:rPr>
                <w:b/>
                <w:i w:val="0"/>
                <w:color w:val="1A73E8"/>
                <w:sz w:val="22"/>
              </w:rPr>
              <w:t>Банк промптов — настраиваемые инструкции для ИИ:</w:t>
            </w:r>
            <w:r>
              <w:rPr>
                <w:b w:val="0"/>
                <w:i w:val="0"/>
                <w:sz w:val="22"/>
              </w:rPr>
              <w:t xml:space="preserve"> Специалисты сами формулируют и сохраняют задания для ИИ в «Банке промптов». Встроенные шаблоны: Стандартный анализ обстановки / Паводковый анализ / Краткая сводка для руководства / Сравнительный анализ двух периодов. Пользователи могут создавать собственные промпты под любую задачу, редактировать и хранить их для повторного использования.</w:t>
            </w:r>
          </w:p>
        </w:tc>
      </w:tr>
    </w:tbl>
    <w:p>
      <w:pPr>
        <w:spacing w:after="40"/>
      </w:pPr>
    </w:p>
    <w:p>
      <w:pPr>
        <w:spacing w:before="0" w:after="120"/>
        <w:jc w:val="both"/>
      </w:pPr>
      <w:r>
        <w:rPr>
          <w:b w:val="0"/>
          <w:i w:val="0"/>
          <w:sz w:val="22"/>
        </w:rPr>
        <w:t>ИИ получает в контексте весь массив данных: суммарный дебит, статусы всех точек, горизонты, домены, борта, цвет воды, полевые наблюдения, сравнение с предыдущим периодом по топ-10 точкам. Это гарантирует, что сгенерированный вывод точно соответствует реальным данным.</w:t>
      </w: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5. ЦИФРОВИЗАЦИЯ ГИДРОГЕОЛОГИИ В КОМПАНИИ RG-GOLD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Внедрение платформы является первым шагом к построению цифровой модели гидрогеологической обстановки месторождений компании. Переход от аналогового учёта к структурированной базе данных создаёт фундамент для дальнейшей цифровизации:</w:t>
      </w:r>
    </w:p>
    <w:p>
      <w:pPr>
        <w:pStyle w:val="ListNumber"/>
        <w:spacing w:before="20" w:after="40"/>
        <w:ind w:left="283"/>
      </w:pPr>
      <w:r>
        <w:rPr>
          <w:b/>
          <w:i w:val="0"/>
          <w:sz w:val="22"/>
        </w:rPr>
        <w:t xml:space="preserve">Накопление исторической базы — </w:t>
      </w:r>
      <w:r>
        <w:rPr>
          <w:b w:val="0"/>
          <w:i w:val="0"/>
          <w:sz w:val="22"/>
        </w:rPr>
        <w:t>каждый обход автоматически формирует временной ряд данных, пригодный для математического анализа</w:t>
      </w:r>
    </w:p>
    <w:p>
      <w:pPr>
        <w:pStyle w:val="ListNumber"/>
        <w:spacing w:before="20" w:after="40"/>
        <w:ind w:left="283"/>
      </w:pPr>
      <w:r>
        <w:rPr>
          <w:b/>
          <w:i w:val="0"/>
          <w:sz w:val="22"/>
        </w:rPr>
        <w:t xml:space="preserve">Стандартизация сбора данных — </w:t>
      </w:r>
      <w:r>
        <w:rPr>
          <w:b w:val="0"/>
          <w:i w:val="0"/>
          <w:sz w:val="22"/>
        </w:rPr>
        <w:t>единый формат записи устраняет разночтения между разными исполнителями</w:t>
      </w:r>
    </w:p>
    <w:p>
      <w:pPr>
        <w:pStyle w:val="ListNumber"/>
        <w:spacing w:before="20" w:after="40"/>
        <w:ind w:left="283"/>
      </w:pPr>
      <w:r>
        <w:rPr>
          <w:b/>
          <w:i w:val="0"/>
          <w:sz w:val="22"/>
        </w:rPr>
        <w:t xml:space="preserve">Геопространственная привязка — </w:t>
      </w:r>
      <w:r>
        <w:rPr>
          <w:b w:val="0"/>
          <w:i w:val="0"/>
          <w:sz w:val="22"/>
        </w:rPr>
        <w:t>все данные имеют координатную основу для будущей интеграции с ГГИС</w:t>
      </w:r>
    </w:p>
    <w:p>
      <w:pPr>
        <w:pStyle w:val="ListNumber"/>
        <w:spacing w:before="20" w:after="40"/>
        <w:ind w:left="283"/>
      </w:pPr>
      <w:r>
        <w:rPr>
          <w:b/>
          <w:i w:val="0"/>
          <w:sz w:val="22"/>
        </w:rPr>
        <w:t xml:space="preserve">Удалённый доступ — </w:t>
      </w:r>
      <w:r>
        <w:rPr>
          <w:b w:val="0"/>
          <w:i w:val="0"/>
          <w:sz w:val="22"/>
        </w:rPr>
        <w:t>специалисты в офисе и на объекте работают с одними актуальными данными без задержек</w:t>
      </w: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6. РАЗВИТИЕ ИИ-ТЕХНОЛОГИЙ В КОМПАНИИ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Платформа является первым в компании RG-Gold практическим применением ИИ-технологий в гидрогеологической службе. Модуль автоматической отчётности уже сегодня использует языковую модель Claude (Anthropic) для генерации профессиональных выводов на основе реальных данных мониторинга — это не пилот и не концепция, а работающий инструмент в промышленной эксплуатации.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Специалист формулирует задание для ИИ на понятном русском языке — модель интерпретирует данные и возвращает готовый профессиональный текст. Это принципиально снижает порог входа в использование ИИ: никаких технических знаний не требуется.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Накопленная историческая база открывает возможности для следующего уровня применения ИИ: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Прогнозирование притоков на основе исторических рядов дебитов и сезонных паттернов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Аномалий-детекция — автоматическое выявление нетипичных изменений дебита</w:t>
      </w:r>
    </w:p>
    <w:p>
      <w:pPr>
        <w:pStyle w:val="ListBullet"/>
        <w:spacing w:before="20" w:after="40"/>
        <w:ind w:left="283"/>
      </w:pPr>
      <w:r>
        <w:rPr>
          <w:b w:val="0"/>
          <w:i w:val="0"/>
          <w:sz w:val="22"/>
        </w:rPr>
        <w:t>Цифровой двойник — интеграция с геологической моделью для динамической гидрогеологической модели карьера</w:t>
      </w: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7. РАЗВИТИЕ ГИДРОГЕОЛОГОВ В КОМПАНИИ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Платформа создаёт новые компетенции и профессиональные возможности для специалистов:</w:t>
      </w:r>
    </w:p>
    <w:p>
      <w:pPr>
        <w:pStyle w:val="ListBullet"/>
        <w:spacing w:before="20" w:after="40"/>
        <w:ind w:left="283"/>
      </w:pPr>
      <w:r>
        <w:rPr>
          <w:b/>
          <w:i w:val="0"/>
          <w:sz w:val="22"/>
        </w:rPr>
        <w:t xml:space="preserve">Аналитическое мышление: </w:t>
      </w:r>
      <w:r>
        <w:rPr>
          <w:b w:val="0"/>
          <w:i w:val="0"/>
          <w:sz w:val="22"/>
        </w:rPr>
        <w:t>работа с интерактивной аналитикой формирует навык интерпретации трендов вместо механического сбора данных</w:t>
      </w:r>
    </w:p>
    <w:p>
      <w:pPr>
        <w:pStyle w:val="ListBullet"/>
        <w:spacing w:before="20" w:after="40"/>
        <w:ind w:left="283"/>
      </w:pPr>
      <w:r>
        <w:rPr>
          <w:b/>
          <w:i w:val="0"/>
          <w:sz w:val="22"/>
        </w:rPr>
        <w:t xml:space="preserve">Цифровые компетенции: </w:t>
      </w:r>
      <w:r>
        <w:rPr>
          <w:b w:val="0"/>
          <w:i w:val="0"/>
          <w:sz w:val="22"/>
        </w:rPr>
        <w:t>освоение современных инструментов работы с геоданными и ИИ повышает квалификационный уровень</w:t>
      </w:r>
    </w:p>
    <w:p>
      <w:pPr>
        <w:pStyle w:val="ListBullet"/>
        <w:spacing w:before="20" w:after="40"/>
        <w:ind w:left="283"/>
      </w:pPr>
      <w:r>
        <w:rPr>
          <w:b/>
          <w:i w:val="0"/>
          <w:sz w:val="22"/>
        </w:rPr>
        <w:t xml:space="preserve">Рост экспертизы: </w:t>
      </w:r>
      <w:r>
        <w:rPr>
          <w:b w:val="0"/>
          <w:i w:val="0"/>
          <w:sz w:val="22"/>
        </w:rPr>
        <w:t>автоматизация рутины высвобождает время специалиста для содержательного анализа и разработки рекомендаций</w:t>
      </w:r>
    </w:p>
    <w:p>
      <w:pPr>
        <w:pStyle w:val="ListBullet"/>
        <w:spacing w:before="20" w:after="40"/>
        <w:ind w:left="283"/>
      </w:pPr>
      <w:r>
        <w:rPr>
          <w:b/>
          <w:i w:val="0"/>
          <w:sz w:val="22"/>
        </w:rPr>
        <w:t xml:space="preserve">Прозрачность результатов: </w:t>
      </w:r>
      <w:r>
        <w:rPr>
          <w:b w:val="0"/>
          <w:i w:val="0"/>
          <w:sz w:val="22"/>
        </w:rPr>
        <w:t>гидрогеолог имеет инструмент для наглядного представления своей работы руководству в режиме реального времени</w:t>
      </w: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8. УЛУЧШЕНИЕ КАЧЕСТВА ДАННЫХ И ИСКЛЮЧЕНИЕ ОШИБОК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Платформа системно устраняет основные источники погрешностей в гидрогеологических данных: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85"/>
            <w:shd w:val="clear" w:color="auto" w:fill="0D1B2A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FFFFFF"/>
                <w:sz w:val="20"/>
              </w:rPr>
              <w:t>Источник ошибки</w:t>
            </w:r>
          </w:p>
        </w:tc>
        <w:tc>
          <w:tcPr>
            <w:tcW w:type="dxa" w:w="1984"/>
            <w:shd w:val="clear" w:color="auto" w:fill="0D1B2A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FFFFFF"/>
                <w:sz w:val="20"/>
              </w:rPr>
              <w:t>До платформы</w:t>
            </w:r>
          </w:p>
        </w:tc>
        <w:tc>
          <w:tcPr>
            <w:tcW w:type="dxa" w:w="3969"/>
            <w:shd w:val="clear" w:color="auto" w:fill="0D1B2A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FFFFFF"/>
                <w:sz w:val="20"/>
              </w:rPr>
              <w:t>После внедрения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Ошибки при переписывании замеров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Регулярно</w:t>
            </w:r>
          </w:p>
        </w:tc>
        <w:tc>
          <w:tcPr>
            <w:tcW w:type="dxa" w:w="3969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color w:val="2D7A4F"/>
                <w:sz w:val="20"/>
              </w:rPr>
              <w:t>Исключено — данные вносятся один раз</w:t>
            </w:r>
          </w:p>
        </w:tc>
      </w:tr>
      <w:tr>
        <w:tc>
          <w:tcPr>
            <w:tcW w:type="dxa" w:w="3685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Путаница в нумерации точек</w:t>
            </w:r>
          </w:p>
        </w:tc>
        <w:tc>
          <w:tcPr>
            <w:tcW w:type="dxa" w:w="1984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Встречается</w:t>
            </w:r>
          </w:p>
        </w:tc>
        <w:tc>
          <w:tcPr>
            <w:tcW w:type="dxa" w:w="3969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color w:val="2D7A4F"/>
                <w:sz w:val="20"/>
              </w:rPr>
              <w:t>Исключено — точка выбирается на карте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Утеря бумажного журнала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Риск</w:t>
            </w:r>
          </w:p>
        </w:tc>
        <w:tc>
          <w:tcPr>
            <w:tcW w:type="dxa" w:w="3969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color w:val="2D7A4F"/>
                <w:sz w:val="20"/>
              </w:rPr>
              <w:t>Исключено — данные в облачной БД</w:t>
            </w:r>
          </w:p>
        </w:tc>
      </w:tr>
      <w:tr>
        <w:tc>
          <w:tcPr>
            <w:tcW w:type="dxa" w:w="3685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Несогласованность единиц (л/с ↔ м³/ч)</w:t>
            </w:r>
          </w:p>
        </w:tc>
        <w:tc>
          <w:tcPr>
            <w:tcW w:type="dxa" w:w="1984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Возможна</w:t>
            </w:r>
          </w:p>
        </w:tc>
        <w:tc>
          <w:tcPr>
            <w:tcW w:type="dxa" w:w="3969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color w:val="2D7A4F"/>
                <w:sz w:val="20"/>
              </w:rPr>
              <w:t>Исключено — автоматический пересчёт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Задержка передачи данных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До нескольких дней</w:t>
            </w:r>
          </w:p>
        </w:tc>
        <w:tc>
          <w:tcPr>
            <w:tcW w:type="dxa" w:w="3969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color w:val="2D7A4F"/>
                <w:sz w:val="20"/>
              </w:rPr>
              <w:t>Мгновенно при внесении замера</w:t>
            </w:r>
          </w:p>
        </w:tc>
      </w:tr>
      <w:tr>
        <w:tc>
          <w:tcPr>
            <w:tcW w:type="dxa" w:w="3685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Нет контроля полноты обхода</w:t>
            </w:r>
          </w:p>
        </w:tc>
        <w:tc>
          <w:tcPr>
            <w:tcW w:type="dxa" w:w="1984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Нет инструмента</w:t>
            </w:r>
          </w:p>
        </w:tc>
        <w:tc>
          <w:tcPr>
            <w:tcW w:type="dxa" w:w="3969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color w:val="2D7A4F"/>
                <w:sz w:val="20"/>
              </w:rPr>
              <w:t>Прогресс-бар + цветовая индикация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Несоответствие текста отчёта реальным цифрам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Возможно</w:t>
            </w:r>
          </w:p>
        </w:tc>
        <w:tc>
          <w:tcPr>
            <w:tcW w:type="dxa" w:w="3969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color w:val="2D7A4F"/>
                <w:sz w:val="20"/>
              </w:rPr>
              <w:t>Исключено — ИИ использует данные из БД</w:t>
            </w:r>
          </w:p>
        </w:tc>
      </w:tr>
      <w:tr>
        <w:tc>
          <w:tcPr>
            <w:tcW w:type="dxa" w:w="3685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Субъективность формулировок</w:t>
            </w:r>
          </w:p>
        </w:tc>
        <w:tc>
          <w:tcPr>
            <w:tcW w:type="dxa" w:w="1984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Зависит от автора</w:t>
            </w:r>
          </w:p>
        </w:tc>
        <w:tc>
          <w:tcPr>
            <w:tcW w:type="dxa" w:w="3969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color w:val="2D7A4F"/>
                <w:sz w:val="20"/>
              </w:rPr>
              <w:t>ИИ формирует вывод по единому стандарту</w:t>
            </w:r>
          </w:p>
        </w:tc>
      </w:tr>
    </w:tbl>
    <w:p>
      <w:pPr>
        <w:spacing w:after="80"/>
      </w:pP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9. ЭКОНОМИЧЕСКОЕ ОБОСНОВАНИЕ</w:t>
      </w:r>
    </w:p>
    <w:p>
      <w:pPr>
        <w:spacing w:before="160" w:after="60"/>
        <w:jc w:val="left"/>
      </w:pPr>
      <w:r>
        <w:rPr>
          <w:b/>
          <w:color w:val="0D1B2A"/>
          <w:sz w:val="23"/>
        </w:rPr>
        <w:t>9.1  Сравнение с коммерческими аналогами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0D1B2A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FFFFFF"/>
                <w:sz w:val="20"/>
              </w:rPr>
              <w:t>Решение</w:t>
            </w:r>
          </w:p>
        </w:tc>
        <w:tc>
          <w:tcPr>
            <w:tcW w:type="dxa" w:w="3402"/>
            <w:shd w:val="clear" w:color="auto" w:fill="0D1B2A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FFFFFF"/>
                <w:sz w:val="20"/>
              </w:rPr>
              <w:t>Назначение</w:t>
            </w:r>
          </w:p>
        </w:tc>
        <w:tc>
          <w:tcPr>
            <w:tcW w:type="dxa" w:w="3118"/>
            <w:shd w:val="clear" w:color="auto" w:fill="0D1B2A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FFFFFF"/>
                <w:sz w:val="20"/>
              </w:rPr>
              <w:t>Ориентировочная стоимость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Leapfrog Works (Seequent/Bentley)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3D гидрогеологическое моделирование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$2 845 / год / пользователь</w:t>
            </w:r>
          </w:p>
        </w:tc>
      </w:tr>
      <w:tr>
        <w:tc>
          <w:tcPr>
            <w:tcW w:type="dxa" w:w="3118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GoldSim</w:t>
            </w:r>
          </w:p>
        </w:tc>
        <w:tc>
          <w:tcPr>
            <w:tcW w:type="dxa" w:w="3402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Водный баланс шахты</w:t>
            </w:r>
          </w:p>
        </w:tc>
        <w:tc>
          <w:tcPr>
            <w:tcW w:type="dxa" w:w="3118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$3 000–8 000 / год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AQUARIUS (Aquatic Informatics)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Мониторинг водных данных в реальном времени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$20 000–80 000 / год</w:t>
            </w:r>
          </w:p>
        </w:tc>
      </w:tr>
      <w:tr>
        <w:tc>
          <w:tcPr>
            <w:tcW w:type="dxa" w:w="3118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FEFLOW (DHI Group)</w:t>
            </w:r>
          </w:p>
        </w:tc>
        <w:tc>
          <w:tcPr>
            <w:tcW w:type="dxa" w:w="3402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Моделирование подземных вод</w:t>
            </w:r>
          </w:p>
        </w:tc>
        <w:tc>
          <w:tcPr>
            <w:tcW w:type="dxa" w:w="3118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€5 000–25 000 / год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Deswik / Datamine (горный модуль)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Корпоративная ГГИС с водным модулем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$15 000–250 000 / год</w:t>
            </w:r>
          </w:p>
        </w:tc>
      </w:tr>
      <w:tr>
        <w:tc>
          <w:tcPr>
            <w:tcW w:type="dxa" w:w="3118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Внешняя разработка под заказ</w:t>
            </w:r>
          </w:p>
        </w:tc>
        <w:tc>
          <w:tcPr>
            <w:tcW w:type="dxa" w:w="3402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Аналог текущей платформы</w:t>
            </w:r>
          </w:p>
        </w:tc>
        <w:tc>
          <w:tcPr>
            <w:tcW w:type="dxa" w:w="3118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$150 000–400 000 единовременно</w:t>
            </w:r>
          </w:p>
        </w:tc>
      </w:tr>
      <w:tr>
        <w:tc>
          <w:tcPr>
            <w:tcW w:type="dxa" w:w="3118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2D7A4F"/>
                <w:sz w:val="20"/>
              </w:rPr>
              <w:t>✓ Платформа RG-Gold (собственная)</w:t>
            </w:r>
          </w:p>
        </w:tc>
        <w:tc>
          <w:tcPr>
            <w:tcW w:type="dxa" w:w="3402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2D7A4F"/>
                <w:sz w:val="20"/>
              </w:rPr>
              <w:t>Весь перечисленный функционал</w:t>
            </w:r>
          </w:p>
        </w:tc>
        <w:tc>
          <w:tcPr>
            <w:tcW w:type="dxa" w:w="3118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2D7A4F"/>
                <w:sz w:val="20"/>
              </w:rPr>
              <w:t>~$300–500 / год (инфраструктура)</w:t>
            </w:r>
          </w:p>
        </w:tc>
      </w:tr>
    </w:tbl>
    <w:p>
      <w:pPr>
        <w:spacing w:after="80"/>
      </w:pPr>
    </w:p>
    <w:p>
      <w:pPr>
        <w:spacing w:before="160" w:after="60"/>
        <w:jc w:val="left"/>
      </w:pPr>
      <w:r>
        <w:rPr>
          <w:b/>
          <w:color w:val="0D1B2A"/>
          <w:sz w:val="23"/>
        </w:rPr>
        <w:t>9.2  Фактические инфраструктурные затраты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  <w:shd w:val="clear" w:color="auto" w:fill="0D1B2A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FFFFFF"/>
                <w:sz w:val="20"/>
              </w:rPr>
              <w:t>Статья затрат</w:t>
            </w:r>
          </w:p>
        </w:tc>
        <w:tc>
          <w:tcPr>
            <w:tcW w:type="dxa" w:w="4535"/>
            <w:shd w:val="clear" w:color="auto" w:fill="0D1B2A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Облачная база данных (Supabase)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~$25 / месяц = ~$300 / год</w:t>
            </w:r>
          </w:p>
        </w:tc>
      </w:tr>
      <w:tr>
        <w:tc>
          <w:tcPr>
            <w:tcW w:type="dxa" w:w="5102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Хостинг веб-приложения</w:t>
            </w:r>
          </w:p>
        </w:tc>
        <w:tc>
          <w:tcPr>
            <w:tcW w:type="dxa" w:w="4535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$0–50 / год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Claude AI API (генерация отчётов)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Pay-per-use, ~$0.01–0.05 за отчёт</w:t>
            </w:r>
          </w:p>
        </w:tc>
      </w:tr>
      <w:tr>
        <w:tc>
          <w:tcPr>
            <w:tcW w:type="dxa" w:w="5102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Лицензии на сторонний софт</w:t>
            </w:r>
          </w:p>
        </w:tc>
        <w:tc>
          <w:tcPr>
            <w:tcW w:type="dxa" w:w="4535"/>
            <w:shd w:val="clear" w:color="auto" w:fill="F8F6EE"/>
          </w:tcPr>
          <w:p>
            <w:pPr>
              <w:spacing w:before="60" w:after="60"/>
              <w:ind w:left="85"/>
            </w:pPr>
            <w:r>
              <w:rPr>
                <w:b w:val="0"/>
                <w:i w:val="0"/>
                <w:sz w:val="20"/>
              </w:rPr>
              <w:t>$0</w:t>
            </w:r>
          </w:p>
        </w:tc>
      </w:tr>
      <w:tr>
        <w:tc>
          <w:tcPr>
            <w:tcW w:type="dxa" w:w="5102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2D7A4F"/>
                <w:sz w:val="20"/>
              </w:rPr>
              <w:t>ИТОГО инфраструктура</w:t>
            </w:r>
          </w:p>
        </w:tc>
        <w:tc>
          <w:tcPr>
            <w:tcW w:type="dxa" w:w="4535"/>
            <w:shd w:val="clear" w:color="auto" w:fill="E8F5EC"/>
          </w:tcPr>
          <w:p>
            <w:pPr>
              <w:spacing w:before="60" w:after="60"/>
              <w:ind w:left="85"/>
            </w:pPr>
            <w:r>
              <w:rPr>
                <w:b/>
                <w:i w:val="0"/>
                <w:color w:val="2D7A4F"/>
                <w:sz w:val="20"/>
              </w:rPr>
              <w:t>~$300–500 / год</w:t>
            </w:r>
          </w:p>
        </w:tc>
      </w:tr>
    </w:tbl>
    <w:p>
      <w:pPr>
        <w:spacing w:after="80"/>
      </w:pPr>
    </w:p>
    <w:p>
      <w:pPr>
        <w:spacing w:before="160" w:after="60"/>
        <w:jc w:val="left"/>
      </w:pPr>
      <w:r>
        <w:rPr>
          <w:b/>
          <w:color w:val="0D1B2A"/>
          <w:sz w:val="23"/>
        </w:rPr>
        <w:t>9.3  Экономический эффект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F5EC"/>
            <w:tcBorders>
              <w:top w:val="none"/>
              <w:bottom w:val="none"/>
              <w:right w:val="none"/>
              <w:left w:val="single" w:sz="24" w:space="0" w:color="2D7A4F"/>
            </w:tcBorders>
          </w:tcPr>
          <w:p>
            <w:pPr>
              <w:spacing w:before="80" w:after="80"/>
              <w:ind w:left="170" w:right="170"/>
            </w:pPr>
            <w:r>
              <w:rPr>
                <w:b/>
                <w:i w:val="0"/>
                <w:color w:val="1A73E8"/>
                <w:sz w:val="22"/>
              </w:rPr>
              <w:t>Прямая экономия относительно ближайшего аналога:</w:t>
            </w:r>
            <w:r>
              <w:rPr>
                <w:b w:val="0"/>
                <w:i w:val="0"/>
                <w:sz w:val="22"/>
              </w:rPr>
              <w:t xml:space="preserve"> Внешнее решение (AQUARIUS): $20 000–80 000 / год</w:t>
              <w:br/>
              <w:t>Собственная платформа: ~$500 / год</w:t>
              <w:br/>
              <w:t>Экономия: $19 500–79 500 в год (97–99% от стоимости аналога)</w:t>
              <w:br/>
              <w:t>На горизонте 3 лет совокупная экономия: $58 000–240 000</w:t>
            </w:r>
          </w:p>
        </w:tc>
      </w:tr>
    </w:tbl>
    <w:p>
      <w:pPr>
        <w:spacing w:after="40"/>
      </w:pPr>
    </w:p>
    <w:p>
      <w:pPr>
        <w:spacing w:before="160" w:after="60"/>
        <w:jc w:val="left"/>
      </w:pPr>
      <w:r>
        <w:rPr>
          <w:b/>
          <w:color w:val="0D1B2A"/>
          <w:sz w:val="23"/>
        </w:rPr>
        <w:t>9.4  Дополнительные преимущества</w:t>
      </w:r>
    </w:p>
    <w:p>
      <w:pPr>
        <w:pStyle w:val="ListBullet"/>
        <w:spacing w:before="20" w:after="40"/>
        <w:ind w:left="283"/>
      </w:pPr>
      <w:r>
        <w:rPr>
          <w:b/>
          <w:i w:val="0"/>
          <w:sz w:val="22"/>
        </w:rPr>
        <w:t xml:space="preserve">Нет вендорной зависимости — </w:t>
      </w:r>
      <w:r>
        <w:rPr>
          <w:b w:val="0"/>
          <w:i w:val="0"/>
          <w:sz w:val="22"/>
        </w:rPr>
        <w:t>компания не привязана к иностранному поставщику, нет рисков отзыва лицензии или прекращения поддержки</w:t>
      </w:r>
    </w:p>
    <w:p>
      <w:pPr>
        <w:pStyle w:val="ListBullet"/>
        <w:spacing w:before="20" w:after="40"/>
        <w:ind w:left="283"/>
      </w:pPr>
      <w:r>
        <w:rPr>
          <w:b/>
          <w:i w:val="0"/>
          <w:sz w:val="22"/>
        </w:rPr>
        <w:t xml:space="preserve">Полный контроль над данными — </w:t>
      </w:r>
      <w:r>
        <w:rPr>
          <w:b w:val="0"/>
          <w:i w:val="0"/>
          <w:sz w:val="22"/>
        </w:rPr>
        <w:t>гидрогеологические данные хранятся в собственной защищённой базе, не передаются третьим сторонам</w:t>
      </w:r>
    </w:p>
    <w:p>
      <w:pPr>
        <w:pStyle w:val="ListBullet"/>
        <w:spacing w:before="20" w:after="40"/>
        <w:ind w:left="283"/>
      </w:pPr>
      <w:r>
        <w:rPr>
          <w:b/>
          <w:i w:val="0"/>
          <w:sz w:val="22"/>
        </w:rPr>
        <w:t xml:space="preserve">Адаптация под специфику — </w:t>
      </w:r>
      <w:r>
        <w:rPr>
          <w:b w:val="0"/>
          <w:i w:val="0"/>
          <w:sz w:val="22"/>
        </w:rPr>
        <w:t>номенклатура, статусы, домены, борта соответствуют принятой в компании классификации</w:t>
      </w:r>
    </w:p>
    <w:p>
      <w:pPr>
        <w:pStyle w:val="ListBullet"/>
        <w:spacing w:before="20" w:after="40"/>
        <w:ind w:left="283"/>
      </w:pPr>
      <w:r>
        <w:rPr>
          <w:b/>
          <w:i w:val="0"/>
          <w:sz w:val="22"/>
        </w:rPr>
        <w:t xml:space="preserve">Масштабирование без доплат — </w:t>
      </w:r>
      <w:r>
        <w:rPr>
          <w:b w:val="0"/>
          <w:i w:val="0"/>
          <w:sz w:val="22"/>
        </w:rPr>
        <w:t>подключение карьера СРГ не потребует покупки дополнительных лицензий</w:t>
      </w:r>
    </w:p>
    <w:p>
      <w:pPr>
        <w:pStyle w:val="ListBullet"/>
        <w:spacing w:before="20" w:after="40"/>
        <w:ind w:left="283"/>
      </w:pPr>
      <w:r>
        <w:rPr>
          <w:b/>
          <w:i w:val="0"/>
          <w:sz w:val="22"/>
        </w:rPr>
        <w:t xml:space="preserve">Неограниченное количество пользователей — </w:t>
      </w:r>
      <w:r>
        <w:rPr>
          <w:b w:val="0"/>
          <w:i w:val="0"/>
          <w:sz w:val="22"/>
        </w:rPr>
        <w:t>в отличие от коммерческих систем с посадочной лицензией</w:t>
      </w: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10. ПЕРСПЕКТИВЫ РАЗВИТИЯ ПЛАТФОРМЫ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В настоящее время платформа введена в промышленную эксплуатацию для карьера ЮРГ. В плане развития — расширение на карьер СРГ с единой централизованной базой данных и возможностью сравнительного анализа между объектами.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0D1B2A"/>
          </w:tcPr>
          <w:p>
            <w:pPr>
              <w:spacing w:before="80" w:after="80"/>
              <w:ind w:left="85"/>
            </w:pPr>
            <w:r>
              <w:rPr>
                <w:b/>
                <w:i w:val="0"/>
                <w:color w:val="FFFFFF"/>
                <w:sz w:val="20"/>
              </w:rPr>
              <w:t>Горизонт</w:t>
            </w:r>
          </w:p>
        </w:tc>
        <w:tc>
          <w:tcPr>
            <w:tcW w:type="dxa" w:w="7087"/>
            <w:shd w:val="clear" w:color="auto" w:fill="0D1B2A"/>
          </w:tcPr>
          <w:p>
            <w:pPr>
              <w:spacing w:before="80" w:after="80"/>
              <w:ind w:left="85"/>
            </w:pPr>
            <w:r>
              <w:rPr>
                <w:b/>
                <w:i w:val="0"/>
                <w:color w:val="FFFFFF"/>
                <w:sz w:val="20"/>
              </w:rPr>
              <w:t>Направления развития</w:t>
            </w:r>
          </w:p>
        </w:tc>
      </w:tr>
      <w:tr>
        <w:tc>
          <w:tcPr>
            <w:tcW w:type="dxa" w:w="2551"/>
            <w:shd w:val="clear" w:color="auto" w:fill="F8F6EE"/>
          </w:tcPr>
          <w:p>
            <w:pPr>
              <w:spacing w:before="80" w:after="80"/>
              <w:ind w:left="85"/>
            </w:pPr>
            <w:r>
              <w:rPr>
                <w:b/>
                <w:i w:val="0"/>
                <w:color w:val="1A73E8"/>
                <w:sz w:val="20"/>
              </w:rPr>
              <w:t>2026 (краткосрочно)</w:t>
            </w:r>
          </w:p>
        </w:tc>
        <w:tc>
          <w:tcPr>
            <w:tcW w:type="dxa" w:w="7087"/>
            <w:shd w:val="clear" w:color="auto" w:fill="F8F6EE"/>
          </w:tcPr>
          <w:p>
            <w:pPr>
              <w:spacing w:before="80" w:after="80"/>
              <w:ind w:left="85"/>
            </w:pPr>
            <w:r>
              <w:rPr>
                <w:b w:val="0"/>
                <w:i w:val="0"/>
                <w:color w:val="1A1A1A"/>
                <w:sz w:val="20"/>
              </w:rPr>
              <w:t>Подключение карьера СРГ · мобильное приложение с офлайн-режимом · фотофиксация прямо с маршрута обхода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80" w:after="80"/>
              <w:ind w:left="85"/>
            </w:pPr>
            <w:r>
              <w:rPr>
                <w:b/>
                <w:i w:val="0"/>
                <w:color w:val="1A73E8"/>
                <w:sz w:val="20"/>
              </w:rPr>
              <w:t>2026–2027 (среднесрочно)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80" w:after="80"/>
              <w:ind w:left="85"/>
            </w:pPr>
            <w:r>
              <w:rPr>
                <w:b w:val="0"/>
                <w:i w:val="0"/>
                <w:color w:val="1A1A1A"/>
                <w:sz w:val="20"/>
              </w:rPr>
              <w:t>Интеграция с IoT-датчиками расхода воды · корреляция с осадками · ML-прогнозирование притоков · интеграция с ГГИС</w:t>
            </w:r>
          </w:p>
        </w:tc>
      </w:tr>
      <w:tr>
        <w:tc>
          <w:tcPr>
            <w:tcW w:type="dxa" w:w="2551"/>
            <w:shd w:val="clear" w:color="auto" w:fill="F8F6EE"/>
          </w:tcPr>
          <w:p>
            <w:pPr>
              <w:spacing w:before="80" w:after="80"/>
              <w:ind w:left="85"/>
            </w:pPr>
            <w:r>
              <w:rPr>
                <w:b/>
                <w:i w:val="0"/>
                <w:color w:val="1A73E8"/>
                <w:sz w:val="20"/>
              </w:rPr>
              <w:t>2028+ (долгосрочно)</w:t>
            </w:r>
          </w:p>
        </w:tc>
        <w:tc>
          <w:tcPr>
            <w:tcW w:type="dxa" w:w="7087"/>
            <w:shd w:val="clear" w:color="auto" w:fill="F8F6EE"/>
          </w:tcPr>
          <w:p>
            <w:pPr>
              <w:spacing w:before="80" w:after="80"/>
              <w:ind w:left="85"/>
            </w:pPr>
            <w:r>
              <w:rPr>
                <w:b w:val="0"/>
                <w:i w:val="0"/>
                <w:color w:val="1A1A1A"/>
                <w:sz w:val="20"/>
              </w:rPr>
              <w:t>Масштабирование на все активы RG-Gold · цифровой двойник гидрогеологической обстановки · автоматические оповещения при превышении критических порогов</w:t>
            </w:r>
          </w:p>
        </w:tc>
      </w:tr>
    </w:tbl>
    <w:p>
      <w:pPr>
        <w:spacing w:after="80"/>
      </w:pPr>
    </w:p>
    <w:p>
      <w:pPr>
        <w:spacing w:before="280" w:after="80"/>
        <w:jc w:val="left"/>
        <w:pBdr>
          <w:bottom w:val="single" w:sz="6" w:space="4" w:color="B8860B"/>
        </w:pBdr>
      </w:pPr>
      <w:r>
        <w:rPr>
          <w:b/>
          <w:caps/>
          <w:color w:val="B8860B"/>
          <w:sz w:val="22"/>
        </w:rPr>
        <w:t>11. ЗАКЛЮЧЕНИЕ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Цифровая платформа мониторинга шахтных вод карьера ЮРГ компании RG-Gold представляет собой практически реализованное решение, функционирующее в промышленной эксплуатации. Платформа переводит гидрогеологический мониторинг из категории «учёт и отчётность» в категорию оперативного управления, аналитики и ИИ-поддержки принятия решений.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Решение не требует закупки дорогостоящего программного обеспечения или специального оборудования, работает в браузере на любом устройстве, обеспечивает полный суверенитет данных и экономит компании до $80 000 в год по сравнению с приобретением аналогичного коммерческого продукта.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F5EC"/>
            <w:tcBorders>
              <w:top w:val="none"/>
              <w:bottom w:val="none"/>
              <w:right w:val="none"/>
              <w:left w:val="single" w:sz="24" w:space="0" w:color="2D7A4F"/>
            </w:tcBorders>
          </w:tcPr>
          <w:p>
            <w:pPr>
              <w:spacing w:before="80" w:after="80"/>
              <w:ind w:left="170" w:right="170"/>
            </w:pPr>
            <w:r>
              <w:rPr>
                <w:b/>
                <w:i w:val="0"/>
                <w:color w:val="1A73E8"/>
                <w:sz w:val="22"/>
              </w:rPr>
              <w:t>Вывод:</w:t>
            </w:r>
            <w:r>
              <w:rPr>
                <w:b w:val="0"/>
                <w:i w:val="0"/>
                <w:sz w:val="22"/>
              </w:rPr>
              <w:t xml:space="preserve"> Предложение рекомендуется к официальному признанию в качестве рационализаторского и тиражированию на другие объекты компании RG-Gold.</w:t>
            </w:r>
          </w:p>
        </w:tc>
      </w:tr>
    </w:tbl>
    <w:p>
      <w:pPr>
        <w:spacing w:after="40"/>
      </w:pPr>
    </w:p>
    <w:p>
      <w:pPr>
        <w:spacing w:after="320"/>
      </w:pPr>
    </w:p>
    <w:p>
      <w:pPr>
        <w:spacing w:after="240"/>
      </w:pPr>
      <w:r>
        <w:rPr>
          <w:b/>
          <w:i w:val="0"/>
          <w:color w:val="555555"/>
          <w:sz w:val="22"/>
        </w:rPr>
        <w:t>Подписи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555555"/>
                <w:sz w:val="18"/>
              </w:rPr>
              <w:t>АВТОР ПРЕДЛОЖЕНИЯ</w:t>
            </w:r>
          </w:p>
        </w:tc>
        <w:tc>
          <w:tcPr>
            <w:tcW w:type="dxa" w:w="321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555555"/>
                <w:sz w:val="18"/>
              </w:rPr>
              <w:t>НЕПОСРЕДСТВЕННЫЙ РУКОВОДИТЕЛЬ</w:t>
            </w:r>
          </w:p>
        </w:tc>
        <w:tc>
          <w:tcPr>
            <w:tcW w:type="dxa" w:w="321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555555"/>
                <w:sz w:val="18"/>
              </w:rPr>
              <w:t>ДАТА ПОДАЧИ</w:t>
            </w:r>
          </w:p>
        </w:tc>
      </w:tr>
      <w:tr>
        <w:tc>
          <w:tcPr>
            <w:tcW w:type="dxa" w:w="321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360" w:after="40"/>
              <w:pBdr>
                <w:bottom w:val="single" w:sz="6" w:space="1" w:color="333333"/>
              </w:pBdr>
            </w:pPr>
          </w:p>
        </w:tc>
        <w:tc>
          <w:tcPr>
            <w:tcW w:type="dxa" w:w="321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360" w:after="40"/>
              <w:pBdr>
                <w:bottom w:val="single" w:sz="6" w:space="1" w:color="333333"/>
              </w:pBdr>
            </w:pPr>
          </w:p>
        </w:tc>
        <w:tc>
          <w:tcPr>
            <w:tcW w:type="dxa" w:w="321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360" w:after="40"/>
              <w:pBdr>
                <w:bottom w:val="single" w:sz="6" w:space="1" w:color="333333"/>
              </w:pBdr>
            </w:pPr>
          </w:p>
        </w:tc>
      </w:tr>
      <w:tr>
        <w:tc>
          <w:tcPr>
            <w:tcW w:type="dxa" w:w="321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/>
            </w:pPr>
            <w:r>
              <w:rPr>
                <w:b w:val="0"/>
                <w:i/>
                <w:color w:val="555555"/>
                <w:sz w:val="18"/>
              </w:rPr>
              <w:t>ФИО / Должность</w:t>
            </w:r>
          </w:p>
        </w:tc>
        <w:tc>
          <w:tcPr>
            <w:tcW w:type="dxa" w:w="321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/>
            </w:pPr>
            <w:r>
              <w:rPr>
                <w:b w:val="0"/>
                <w:i/>
                <w:color w:val="555555"/>
                <w:sz w:val="18"/>
              </w:rPr>
              <w:t>ФИО / Должность</w:t>
            </w:r>
          </w:p>
        </w:tc>
        <w:tc>
          <w:tcPr>
            <w:tcW w:type="dxa" w:w="321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/>
            </w:pPr>
            <w:r>
              <w:rPr>
                <w:b w:val="0"/>
                <w:i/>
                <w:color w:val="555555"/>
                <w:sz w:val="18"/>
              </w:rPr>
              <w:t>«___» __________ 2026 г.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