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одной из простейших моделей боевых действий – моделью Ланчестера и ее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армии Х и армии У для случая боевых действий между регулярными войсками.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армии Х и армии У для ведения боевых действий с участием регулярных войск и партизанских отрядов.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Известны начальные данные задачи: начальная численность войска X = 55000 человек, а численность войска Y = 45000 человек.</w:t>
      </w:r>
      <w:r>
        <w:br/>
      </w:r>
      <w:r>
        <w:t xml:space="preserve">Коэффициенты влияния различных факторов для войск X и Y в первом случае - a = 0.41 и h = 0.57 соответственно, во втором случае - a = 0.31 и h = 0.51 соответственно.</w:t>
      </w:r>
      <w:r>
        <w:br/>
      </w:r>
      <w:r>
        <w:t xml:space="preserve">Коэффициенты эффективности боевых действий для войск X и Y в первом случае - b = 0.821 и c = 0.541 соответственно, во втором случае - b = 0.87 и c = 0.43 соответственно.</w:t>
      </w:r>
      <w:r>
        <w:br/>
      </w:r>
      <w:r>
        <w:t xml:space="preserve">Функции подкрепления к войскам X и Y в первом случае - p(t) = sin(5t) + 1 и q(t) = cos(6t) + 1 соответственно, во втором случае - p(t) = |sin(4t)| и q(t) = |cos(3t)| соответственно.</w:t>
      </w:r>
    </w:p>
    <w:p>
      <w:pPr>
        <w:numPr>
          <w:ilvl w:val="0"/>
          <w:numId w:val="1002"/>
        </w:numPr>
        <w:pStyle w:val="Compact"/>
      </w:pPr>
      <w:r>
        <w:t xml:space="preserve">Рассмотрим модель боевых действий для двух регулярных армий: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821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541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Ниже представлен скриншот кода программы для первого, выполненной на языке программирования Modelica.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Код програм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первого случая</w:t>
      </w:r>
    </w:p>
    <w:p>
      <w:pPr>
        <w:pStyle w:val="BodyText"/>
      </w:pPr>
      <w:r>
        <w:t xml:space="preserve">Также ниже представле график для первого случая.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Рассмотрим модель ведения боевых действий с участием регулярной и партизанской армий: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4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43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Ниже представлен скриншот кода программы для второго, выполненной на языке программирования Modelica.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Код програм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Код программы для второго случая</w:t>
      </w:r>
    </w:p>
    <w:p>
      <w:pPr>
        <w:pStyle w:val="BodyText"/>
      </w:pPr>
      <w:r>
        <w:t xml:space="preserve">Также ниже представле график для второго случая.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3000375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для второго случая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строить модель Ланчестера для ведения боевых действий.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Роман Владимирович Иванов</dc:creator>
  <dc:language>ru-RU</dc:language>
  <cp:keywords/>
  <dcterms:created xsi:type="dcterms:W3CDTF">2021-02-24T19:19:00Z</dcterms:created>
  <dcterms:modified xsi:type="dcterms:W3CDTF">2021-02-24T19:19:00Z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