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ayout w:type="fixed"/>
        <w:tblLook w:val="04A0" w:firstRow="1" w:lastRow="0" w:firstColumn="1" w:lastColumn="0" w:noHBand="0" w:noVBand="1"/>
      </w:tblPr>
      <w:tblGrid>
        <w:gridCol w:w="2047"/>
        <w:gridCol w:w="2626"/>
        <w:gridCol w:w="1770"/>
        <w:gridCol w:w="2385"/>
      </w:tblGrid>
      <w:tr w:rsidR="0009027B" w:rsidRPr="0009027B" w:rsidTr="00F05F81">
        <w:tc>
          <w:tcPr>
            <w:tcW w:w="2047" w:type="dxa"/>
          </w:tcPr>
          <w:p w:rsidR="0009027B" w:rsidRPr="0009027B" w:rsidRDefault="0009027B" w:rsidP="008A4689">
            <w:pPr>
              <w:rPr>
                <w:rFonts w:cstheme="minorHAnsi"/>
                <w:sz w:val="18"/>
                <w:szCs w:val="18"/>
              </w:rPr>
            </w:pPr>
            <w:r w:rsidRPr="0009027B">
              <w:rPr>
                <w:rFonts w:cstheme="minorHAnsi"/>
                <w:sz w:val="18"/>
                <w:szCs w:val="18"/>
              </w:rPr>
              <w:t>Nombre de Variable (Columna)</w:t>
            </w:r>
          </w:p>
        </w:tc>
        <w:tc>
          <w:tcPr>
            <w:tcW w:w="2626" w:type="dxa"/>
          </w:tcPr>
          <w:p w:rsidR="0009027B" w:rsidRPr="0009027B" w:rsidRDefault="0009027B" w:rsidP="008A4689">
            <w:pPr>
              <w:rPr>
                <w:rFonts w:cstheme="minorHAnsi"/>
                <w:sz w:val="18"/>
                <w:szCs w:val="18"/>
              </w:rPr>
            </w:pPr>
            <w:r w:rsidRPr="0009027B">
              <w:rPr>
                <w:rFonts w:cstheme="minorHAnsi"/>
                <w:sz w:val="18"/>
                <w:szCs w:val="18"/>
              </w:rPr>
              <w:t>Definición</w:t>
            </w:r>
          </w:p>
        </w:tc>
        <w:tc>
          <w:tcPr>
            <w:tcW w:w="1770" w:type="dxa"/>
          </w:tcPr>
          <w:p w:rsidR="0009027B" w:rsidRPr="0009027B" w:rsidRDefault="0009027B" w:rsidP="008A4689">
            <w:pPr>
              <w:rPr>
                <w:rFonts w:cstheme="minorHAnsi"/>
                <w:sz w:val="18"/>
                <w:szCs w:val="18"/>
              </w:rPr>
            </w:pPr>
            <w:r w:rsidRPr="0009027B">
              <w:rPr>
                <w:rFonts w:cstheme="minorHAnsi"/>
                <w:sz w:val="18"/>
                <w:szCs w:val="18"/>
              </w:rPr>
              <w:t xml:space="preserve">Código </w:t>
            </w:r>
            <w:proofErr w:type="spellStart"/>
            <w:r w:rsidRPr="0009027B">
              <w:rPr>
                <w:rFonts w:cstheme="minorHAnsi"/>
                <w:sz w:val="18"/>
                <w:szCs w:val="18"/>
              </w:rPr>
              <w:t>Indicator</w:t>
            </w:r>
            <w:proofErr w:type="spellEnd"/>
          </w:p>
        </w:tc>
        <w:tc>
          <w:tcPr>
            <w:tcW w:w="2385" w:type="dxa"/>
          </w:tcPr>
          <w:p w:rsidR="0009027B" w:rsidRPr="0009027B" w:rsidRDefault="0009027B" w:rsidP="008A4689">
            <w:pPr>
              <w:rPr>
                <w:rFonts w:cstheme="minorHAnsi"/>
                <w:sz w:val="18"/>
                <w:szCs w:val="18"/>
              </w:rPr>
            </w:pPr>
            <w:r w:rsidRPr="0009027B">
              <w:rPr>
                <w:rFonts w:cstheme="minorHAnsi"/>
                <w:sz w:val="18"/>
                <w:szCs w:val="18"/>
              </w:rPr>
              <w:t>Fuente</w:t>
            </w:r>
          </w:p>
        </w:tc>
      </w:tr>
      <w:tr w:rsidR="0009027B" w:rsidRPr="0009027B" w:rsidTr="00F05F81">
        <w:tc>
          <w:tcPr>
            <w:tcW w:w="2047" w:type="dxa"/>
          </w:tcPr>
          <w:p w:rsidR="0009027B" w:rsidRPr="0009027B" w:rsidRDefault="0009027B" w:rsidP="001B5C8D">
            <w:pPr>
              <w:spacing w:before="60" w:after="75" w:line="270" w:lineRule="atLeast"/>
              <w:rPr>
                <w:rFonts w:cstheme="minorHAnsi"/>
                <w:color w:val="333333"/>
                <w:sz w:val="18"/>
                <w:szCs w:val="18"/>
                <w:lang w:val="en-US"/>
              </w:rPr>
            </w:pPr>
            <w:r w:rsidRPr="0009027B">
              <w:rPr>
                <w:rFonts w:cstheme="minorHAnsi"/>
                <w:color w:val="333333"/>
                <w:sz w:val="18"/>
                <w:szCs w:val="18"/>
                <w:lang w:val="en-US"/>
              </w:rPr>
              <w:t>Corruption Perception Index, 2018</w:t>
            </w:r>
          </w:p>
        </w:tc>
        <w:tc>
          <w:tcPr>
            <w:tcW w:w="2626" w:type="dxa"/>
          </w:tcPr>
          <w:p w:rsidR="0009027B" w:rsidRPr="0009027B" w:rsidRDefault="0009027B" w:rsidP="00C5458C">
            <w:pPr>
              <w:jc w:val="both"/>
              <w:rPr>
                <w:rFonts w:cstheme="minorHAnsi"/>
                <w:sz w:val="18"/>
                <w:szCs w:val="18"/>
                <w:lang w:val="es-CO"/>
              </w:rPr>
            </w:pPr>
            <w:r w:rsidRPr="0009027B">
              <w:rPr>
                <w:rFonts w:cstheme="minorHAnsi"/>
                <w:sz w:val="18"/>
                <w:szCs w:val="18"/>
                <w:lang w:val="es-CO"/>
              </w:rPr>
              <w:t>La corrupción es un fenómeno que involucra muchos aspectos diferentes y, por lo tanto, es difícil dar una definición precisa y completa. Sin embargo, en el centro de la mayoría de las definiciones de corrupción está la idea de que un acto corrupto implica el abuso del poder encomendado para beneficio privado. Los ejemplos clásicos incluyen el soborno, el clientelismo y la malversación. Otros ejemplos de corrupción, a menudo más sutiles ya veces incluso legales, incluyen cabildeo y patrocinio.</w:t>
            </w:r>
          </w:p>
        </w:tc>
        <w:tc>
          <w:tcPr>
            <w:tcW w:w="1770" w:type="dxa"/>
          </w:tcPr>
          <w:p w:rsidR="0009027B" w:rsidRPr="0009027B" w:rsidRDefault="0009027B" w:rsidP="008A4689">
            <w:pPr>
              <w:spacing w:before="60" w:after="75" w:line="270" w:lineRule="atLeast"/>
              <w:rPr>
                <w:rFonts w:cstheme="minorHAnsi"/>
                <w:color w:val="333333"/>
                <w:sz w:val="18"/>
                <w:szCs w:val="18"/>
                <w:shd w:val="clear" w:color="auto" w:fill="FFFFFF"/>
                <w:lang w:val="es-CO"/>
              </w:rPr>
            </w:pPr>
          </w:p>
        </w:tc>
        <w:tc>
          <w:tcPr>
            <w:tcW w:w="2385" w:type="dxa"/>
          </w:tcPr>
          <w:p w:rsidR="0009027B" w:rsidRPr="0009027B" w:rsidRDefault="0009027B" w:rsidP="001B5C8D">
            <w:pPr>
              <w:spacing w:before="60" w:after="75" w:line="270" w:lineRule="atLeast"/>
              <w:rPr>
                <w:rFonts w:cstheme="minorHAnsi"/>
                <w:color w:val="333333"/>
                <w:sz w:val="18"/>
                <w:szCs w:val="18"/>
                <w:lang w:val="es-CO"/>
              </w:rPr>
            </w:pPr>
            <w:r w:rsidRPr="0009027B">
              <w:rPr>
                <w:rFonts w:cstheme="minorHAnsi"/>
                <w:color w:val="333333"/>
                <w:sz w:val="18"/>
                <w:szCs w:val="18"/>
                <w:lang w:val="es-CO"/>
              </w:rPr>
              <w:t>https://ourworldindata.org/corruption</w:t>
            </w:r>
          </w:p>
        </w:tc>
      </w:tr>
      <w:tr w:rsidR="0009027B" w:rsidRPr="0009027B" w:rsidTr="00F05F81">
        <w:tc>
          <w:tcPr>
            <w:tcW w:w="2047" w:type="dxa"/>
          </w:tcPr>
          <w:p w:rsidR="0009027B" w:rsidRPr="0009027B" w:rsidRDefault="0009027B" w:rsidP="008A4689">
            <w:pPr>
              <w:rPr>
                <w:rFonts w:cstheme="minorHAnsi"/>
                <w:sz w:val="18"/>
                <w:szCs w:val="18"/>
                <w:lang w:val="es-CO"/>
              </w:rPr>
            </w:pPr>
            <w:r w:rsidRPr="0009027B">
              <w:rPr>
                <w:rFonts w:cstheme="minorHAnsi"/>
                <w:sz w:val="18"/>
                <w:szCs w:val="18"/>
                <w:lang w:val="es-CO"/>
              </w:rPr>
              <w:t>GDP (</w:t>
            </w:r>
            <w:r>
              <w:rPr>
                <w:rFonts w:cstheme="minorHAnsi"/>
                <w:sz w:val="18"/>
                <w:szCs w:val="18"/>
                <w:lang w:val="es-CO"/>
              </w:rPr>
              <w:t>c</w:t>
            </w:r>
            <w:r w:rsidRPr="0009027B">
              <w:rPr>
                <w:rFonts w:cstheme="minorHAnsi"/>
                <w:sz w:val="18"/>
                <w:szCs w:val="18"/>
                <w:lang w:val="es-CO"/>
              </w:rPr>
              <w:t>onstant LCU)</w:t>
            </w:r>
          </w:p>
        </w:tc>
        <w:tc>
          <w:tcPr>
            <w:tcW w:w="2626" w:type="dxa"/>
          </w:tcPr>
          <w:p w:rsidR="0009027B" w:rsidRPr="0009027B" w:rsidRDefault="0009027B" w:rsidP="007D0A0C">
            <w:pPr>
              <w:rPr>
                <w:rFonts w:cstheme="minorHAnsi"/>
                <w:sz w:val="18"/>
                <w:szCs w:val="18"/>
                <w:lang w:val="es-CO"/>
              </w:rPr>
            </w:pPr>
            <w:r w:rsidRPr="0009027B">
              <w:rPr>
                <w:rFonts w:cstheme="minorHAnsi"/>
                <w:sz w:val="18"/>
                <w:szCs w:val="18"/>
                <w:lang w:val="es-CO"/>
              </w:rPr>
              <w:t>El PIB es la suma del valor agregado bruto de todos los productores residentes en la economía más los impuestos sobre los productos y menos los subsidios no incluidos en el valor de los productos. Se calcula sin hacer deducciones por depreciación de bienes fabricados o por agotamiento y degradación de los recursos naturales. Los datos están en moneda local constante.</w:t>
            </w:r>
          </w:p>
        </w:tc>
        <w:tc>
          <w:tcPr>
            <w:tcW w:w="1770" w:type="dxa"/>
          </w:tcPr>
          <w:p w:rsidR="0009027B" w:rsidRPr="0009027B" w:rsidRDefault="0009027B" w:rsidP="008A4689">
            <w:pPr>
              <w:spacing w:before="60" w:after="75" w:line="270" w:lineRule="atLeast"/>
              <w:rPr>
                <w:rFonts w:cstheme="minorHAnsi"/>
                <w:color w:val="333333"/>
                <w:sz w:val="18"/>
                <w:szCs w:val="18"/>
              </w:rPr>
            </w:pPr>
            <w:r w:rsidRPr="0009027B">
              <w:rPr>
                <w:rFonts w:cstheme="minorHAnsi"/>
                <w:sz w:val="18"/>
                <w:szCs w:val="18"/>
                <w:lang w:val="en-US"/>
              </w:rPr>
              <w:t>NY.GDP.MKTP.KN</w:t>
            </w:r>
          </w:p>
        </w:tc>
        <w:tc>
          <w:tcPr>
            <w:tcW w:w="2385" w:type="dxa"/>
          </w:tcPr>
          <w:p w:rsidR="0009027B" w:rsidRPr="0009027B" w:rsidRDefault="0009027B" w:rsidP="008A4689">
            <w:pPr>
              <w:spacing w:before="60" w:after="75" w:line="270" w:lineRule="atLeast"/>
              <w:rPr>
                <w:rFonts w:cstheme="minorHAnsi"/>
                <w:sz w:val="18"/>
                <w:szCs w:val="18"/>
                <w:lang w:val="es-CO"/>
              </w:rPr>
            </w:pPr>
            <w:r w:rsidRPr="0009027B">
              <w:rPr>
                <w:rFonts w:cstheme="minorHAnsi"/>
                <w:sz w:val="18"/>
                <w:szCs w:val="18"/>
                <w:lang w:val="es-CO"/>
              </w:rPr>
              <w:t>Fuente Datos de cuentas nacionales del Banco Mundial y archivos de datos de cuentas nacionales de la OCDE.</w:t>
            </w:r>
          </w:p>
        </w:tc>
      </w:tr>
      <w:tr w:rsidR="0009027B" w:rsidRPr="0009027B" w:rsidTr="00F05F81">
        <w:tc>
          <w:tcPr>
            <w:tcW w:w="2047" w:type="dxa"/>
          </w:tcPr>
          <w:p w:rsidR="0009027B" w:rsidRPr="0009027B" w:rsidRDefault="0009027B" w:rsidP="001B5C8D">
            <w:pPr>
              <w:spacing w:before="60" w:after="75" w:line="270" w:lineRule="atLeast"/>
              <w:rPr>
                <w:rFonts w:cstheme="minorHAnsi"/>
                <w:color w:val="333333"/>
                <w:sz w:val="18"/>
                <w:szCs w:val="18"/>
                <w:lang w:val="en-US"/>
              </w:rPr>
            </w:pPr>
            <w:r w:rsidRPr="0009027B">
              <w:rPr>
                <w:rFonts w:cstheme="minorHAnsi"/>
                <w:color w:val="333333"/>
                <w:sz w:val="18"/>
                <w:szCs w:val="18"/>
                <w:lang w:val="en-US"/>
              </w:rPr>
              <w:t>GDP (current LCU)</w:t>
            </w:r>
          </w:p>
        </w:tc>
        <w:tc>
          <w:tcPr>
            <w:tcW w:w="2626" w:type="dxa"/>
          </w:tcPr>
          <w:p w:rsidR="0009027B" w:rsidRPr="0009027B" w:rsidRDefault="0009027B" w:rsidP="00F05F81">
            <w:pPr>
              <w:jc w:val="both"/>
              <w:rPr>
                <w:rFonts w:cstheme="minorHAnsi"/>
                <w:sz w:val="18"/>
                <w:szCs w:val="18"/>
                <w:lang w:val="en-US"/>
              </w:rPr>
            </w:pPr>
            <w:r w:rsidRPr="0009027B">
              <w:rPr>
                <w:rFonts w:cstheme="minorHAnsi"/>
                <w:sz w:val="18"/>
                <w:szCs w:val="18"/>
                <w:lang w:val="es-CO"/>
              </w:rPr>
              <w:t xml:space="preserve">El PIB a precios de comprador es la suma del valor agregado bruto de todos los productores residentes en la economía más los impuestos sobre los productos y menos los subsidios no incluidos en el valor de los productos. Se calcula sin hacer deducciones por depreciación de bienes fabricados o por agotamiento y degradación de los recursos naturales. </w:t>
            </w:r>
            <w:r w:rsidRPr="0009027B">
              <w:rPr>
                <w:rFonts w:cstheme="minorHAnsi"/>
                <w:sz w:val="18"/>
                <w:szCs w:val="18"/>
                <w:lang w:val="en-US"/>
              </w:rPr>
              <w:t xml:space="preserve">Los </w:t>
            </w:r>
            <w:proofErr w:type="spellStart"/>
            <w:r w:rsidRPr="0009027B">
              <w:rPr>
                <w:rFonts w:cstheme="minorHAnsi"/>
                <w:sz w:val="18"/>
                <w:szCs w:val="18"/>
                <w:lang w:val="en-US"/>
              </w:rPr>
              <w:t>datos</w:t>
            </w:r>
            <w:proofErr w:type="spellEnd"/>
            <w:r w:rsidRPr="0009027B">
              <w:rPr>
                <w:rFonts w:cstheme="minorHAnsi"/>
                <w:sz w:val="18"/>
                <w:szCs w:val="18"/>
                <w:lang w:val="en-US"/>
              </w:rPr>
              <w:t xml:space="preserve"> </w:t>
            </w:r>
            <w:proofErr w:type="spellStart"/>
            <w:r w:rsidRPr="0009027B">
              <w:rPr>
                <w:rFonts w:cstheme="minorHAnsi"/>
                <w:sz w:val="18"/>
                <w:szCs w:val="18"/>
                <w:lang w:val="en-US"/>
              </w:rPr>
              <w:t>están</w:t>
            </w:r>
            <w:proofErr w:type="spellEnd"/>
            <w:r w:rsidRPr="0009027B">
              <w:rPr>
                <w:rFonts w:cstheme="minorHAnsi"/>
                <w:sz w:val="18"/>
                <w:szCs w:val="18"/>
                <w:lang w:val="en-US"/>
              </w:rPr>
              <w:t xml:space="preserve"> </w:t>
            </w:r>
            <w:proofErr w:type="spellStart"/>
            <w:r w:rsidRPr="0009027B">
              <w:rPr>
                <w:rFonts w:cstheme="minorHAnsi"/>
                <w:sz w:val="18"/>
                <w:szCs w:val="18"/>
                <w:lang w:val="en-US"/>
              </w:rPr>
              <w:t>en</w:t>
            </w:r>
            <w:proofErr w:type="spellEnd"/>
            <w:r w:rsidRPr="0009027B">
              <w:rPr>
                <w:rFonts w:cstheme="minorHAnsi"/>
                <w:sz w:val="18"/>
                <w:szCs w:val="18"/>
                <w:lang w:val="en-US"/>
              </w:rPr>
              <w:t xml:space="preserve"> la </w:t>
            </w:r>
            <w:proofErr w:type="spellStart"/>
            <w:r w:rsidRPr="0009027B">
              <w:rPr>
                <w:rFonts w:cstheme="minorHAnsi"/>
                <w:sz w:val="18"/>
                <w:szCs w:val="18"/>
                <w:lang w:val="en-US"/>
              </w:rPr>
              <w:t>moneda</w:t>
            </w:r>
            <w:proofErr w:type="spellEnd"/>
            <w:r w:rsidRPr="0009027B">
              <w:rPr>
                <w:rFonts w:cstheme="minorHAnsi"/>
                <w:sz w:val="18"/>
                <w:szCs w:val="18"/>
                <w:lang w:val="en-US"/>
              </w:rPr>
              <w:t xml:space="preserve"> local actual.</w:t>
            </w:r>
          </w:p>
        </w:tc>
        <w:tc>
          <w:tcPr>
            <w:tcW w:w="1770" w:type="dxa"/>
          </w:tcPr>
          <w:p w:rsidR="0009027B" w:rsidRPr="0009027B" w:rsidRDefault="0009027B" w:rsidP="008A4689">
            <w:pPr>
              <w:spacing w:before="60" w:after="75" w:line="270" w:lineRule="atLeast"/>
              <w:rPr>
                <w:rFonts w:cstheme="minorHAnsi"/>
                <w:color w:val="333333"/>
                <w:sz w:val="18"/>
                <w:szCs w:val="18"/>
                <w:lang w:val="en-US"/>
              </w:rPr>
            </w:pPr>
            <w:r w:rsidRPr="0009027B">
              <w:rPr>
                <w:rFonts w:cstheme="minorHAnsi"/>
                <w:color w:val="333333"/>
                <w:sz w:val="18"/>
                <w:szCs w:val="18"/>
                <w:lang w:val="en-US"/>
              </w:rPr>
              <w:t>NY.GDP.MKTP.CN</w:t>
            </w:r>
          </w:p>
        </w:tc>
        <w:tc>
          <w:tcPr>
            <w:tcW w:w="2385" w:type="dxa"/>
          </w:tcPr>
          <w:p w:rsidR="0009027B" w:rsidRPr="0009027B" w:rsidRDefault="0009027B" w:rsidP="001B5C8D">
            <w:pPr>
              <w:spacing w:before="60" w:after="75" w:line="270" w:lineRule="atLeast"/>
              <w:rPr>
                <w:rFonts w:cstheme="minorHAnsi"/>
                <w:color w:val="333333"/>
                <w:sz w:val="18"/>
                <w:szCs w:val="18"/>
                <w:lang w:val="en-US"/>
              </w:rPr>
            </w:pPr>
            <w:r w:rsidRPr="0009027B">
              <w:rPr>
                <w:rFonts w:cstheme="minorHAnsi"/>
                <w:color w:val="333333"/>
                <w:sz w:val="18"/>
                <w:szCs w:val="18"/>
                <w:lang w:val="en-US"/>
              </w:rPr>
              <w:t>World Bank national accounts data, and OECD National Accounts data files.</w:t>
            </w:r>
          </w:p>
        </w:tc>
      </w:tr>
      <w:tr w:rsidR="0009027B" w:rsidRPr="0009027B" w:rsidTr="00F05F81">
        <w:tc>
          <w:tcPr>
            <w:tcW w:w="2047" w:type="dxa"/>
          </w:tcPr>
          <w:p w:rsidR="0009027B" w:rsidRPr="0009027B" w:rsidRDefault="0009027B" w:rsidP="008A4689">
            <w:pPr>
              <w:rPr>
                <w:rFonts w:cstheme="minorHAnsi"/>
                <w:sz w:val="18"/>
                <w:szCs w:val="18"/>
                <w:lang w:val="en-US"/>
              </w:rPr>
            </w:pPr>
            <w:r w:rsidRPr="0009027B">
              <w:rPr>
                <w:rFonts w:cstheme="minorHAnsi"/>
                <w:sz w:val="18"/>
                <w:szCs w:val="18"/>
                <w:lang w:val="en-US"/>
              </w:rPr>
              <w:t>GDP per capita (constant LCU)</w:t>
            </w:r>
          </w:p>
        </w:tc>
        <w:tc>
          <w:tcPr>
            <w:tcW w:w="2626" w:type="dxa"/>
          </w:tcPr>
          <w:p w:rsidR="0009027B" w:rsidRPr="0009027B" w:rsidRDefault="0009027B" w:rsidP="005E42A5">
            <w:pPr>
              <w:jc w:val="both"/>
              <w:rPr>
                <w:rFonts w:cstheme="minorHAnsi"/>
                <w:sz w:val="18"/>
                <w:szCs w:val="18"/>
                <w:lang w:val="es-CO"/>
              </w:rPr>
            </w:pPr>
            <w:r w:rsidRPr="0009027B">
              <w:rPr>
                <w:rFonts w:cstheme="minorHAnsi"/>
                <w:sz w:val="18"/>
                <w:szCs w:val="18"/>
                <w:lang w:val="es-CO"/>
              </w:rPr>
              <w:t>El PIB per cápita es el</w:t>
            </w:r>
            <w:r w:rsidRPr="0009027B">
              <w:rPr>
                <w:rFonts w:cstheme="minorHAnsi"/>
                <w:sz w:val="18"/>
                <w:szCs w:val="18"/>
                <w:lang w:val="es-CO"/>
              </w:rPr>
              <w:t xml:space="preserve"> </w:t>
            </w:r>
            <w:r w:rsidRPr="0009027B">
              <w:rPr>
                <w:rFonts w:cstheme="minorHAnsi"/>
                <w:sz w:val="18"/>
                <w:szCs w:val="18"/>
                <w:lang w:val="es-CO"/>
              </w:rPr>
              <w:t>producto interno bruto dividido por la población a mitad de año. El PIB a precios de comprador es la suma del valor agregado bruto de todos los productores residentes en la economía más los impuestos sobre los productos y menos los subsidios no incluidos en el valor de los productos.</w:t>
            </w:r>
            <w:r w:rsidRPr="0009027B">
              <w:rPr>
                <w:rFonts w:cstheme="minorHAnsi"/>
                <w:sz w:val="18"/>
                <w:szCs w:val="18"/>
                <w:lang w:val="es-CO"/>
              </w:rPr>
              <w:t xml:space="preserve"> </w:t>
            </w:r>
            <w:r w:rsidRPr="0009027B">
              <w:rPr>
                <w:rFonts w:cstheme="minorHAnsi"/>
                <w:sz w:val="18"/>
                <w:szCs w:val="18"/>
                <w:lang w:val="es-CO"/>
              </w:rPr>
              <w:t xml:space="preserve">Se calcula sin hacer deducciones por depreciación de bienes fabricados o por agotamiento y </w:t>
            </w:r>
            <w:r w:rsidRPr="0009027B">
              <w:rPr>
                <w:rFonts w:cstheme="minorHAnsi"/>
                <w:sz w:val="18"/>
                <w:szCs w:val="18"/>
                <w:lang w:val="es-CO"/>
              </w:rPr>
              <w:lastRenderedPageBreak/>
              <w:t>degradación de los recursos naturales. Los datos están en moneda local constante.</w:t>
            </w:r>
          </w:p>
        </w:tc>
        <w:tc>
          <w:tcPr>
            <w:tcW w:w="1770" w:type="dxa"/>
          </w:tcPr>
          <w:p w:rsidR="0009027B" w:rsidRPr="0009027B" w:rsidRDefault="0009027B" w:rsidP="008A4689">
            <w:pPr>
              <w:spacing w:before="60" w:after="75" w:line="270" w:lineRule="atLeast"/>
              <w:rPr>
                <w:rFonts w:cstheme="minorHAnsi"/>
                <w:color w:val="333333"/>
                <w:sz w:val="18"/>
                <w:szCs w:val="18"/>
              </w:rPr>
            </w:pPr>
            <w:r w:rsidRPr="0009027B">
              <w:rPr>
                <w:rFonts w:cstheme="minorHAnsi"/>
                <w:color w:val="333333"/>
                <w:sz w:val="18"/>
                <w:szCs w:val="18"/>
              </w:rPr>
              <w:lastRenderedPageBreak/>
              <w:t>NY.GDP.PCAP.KN</w:t>
            </w:r>
          </w:p>
        </w:tc>
        <w:tc>
          <w:tcPr>
            <w:tcW w:w="2385" w:type="dxa"/>
          </w:tcPr>
          <w:p w:rsidR="0009027B" w:rsidRPr="0009027B" w:rsidRDefault="0009027B" w:rsidP="008A4689">
            <w:pPr>
              <w:spacing w:before="60" w:after="75" w:line="270" w:lineRule="atLeast"/>
              <w:rPr>
                <w:rFonts w:cstheme="minorHAnsi"/>
                <w:color w:val="333333"/>
                <w:sz w:val="18"/>
                <w:szCs w:val="18"/>
              </w:rPr>
            </w:pPr>
            <w:r w:rsidRPr="0009027B">
              <w:rPr>
                <w:rFonts w:cstheme="minorHAnsi"/>
                <w:sz w:val="18"/>
                <w:szCs w:val="18"/>
                <w:lang w:val="es-CO"/>
              </w:rPr>
              <w:t>Fuente Datos de cuentas nacionales del Banco Mundial y archivos de datos de cuentas nacionales de la OCDE.</w:t>
            </w:r>
          </w:p>
        </w:tc>
      </w:tr>
      <w:tr w:rsidR="0009027B" w:rsidRPr="0009027B" w:rsidTr="00F05F81">
        <w:tc>
          <w:tcPr>
            <w:tcW w:w="2047" w:type="dxa"/>
          </w:tcPr>
          <w:p w:rsidR="0009027B" w:rsidRPr="0009027B" w:rsidRDefault="0009027B" w:rsidP="008A4689">
            <w:pPr>
              <w:rPr>
                <w:rFonts w:cstheme="minorHAnsi"/>
                <w:sz w:val="18"/>
                <w:szCs w:val="18"/>
                <w:lang w:val="es-CO"/>
              </w:rPr>
            </w:pPr>
            <w:r w:rsidRPr="0009027B">
              <w:rPr>
                <w:rFonts w:cstheme="minorHAnsi"/>
                <w:sz w:val="18"/>
                <w:szCs w:val="18"/>
                <w:lang w:val="en-US"/>
              </w:rPr>
              <w:t>GDP per capita (current LCU)</w:t>
            </w:r>
          </w:p>
        </w:tc>
        <w:tc>
          <w:tcPr>
            <w:tcW w:w="2626" w:type="dxa"/>
          </w:tcPr>
          <w:p w:rsidR="0009027B" w:rsidRPr="0009027B" w:rsidRDefault="0009027B" w:rsidP="008A4689">
            <w:pPr>
              <w:rPr>
                <w:rFonts w:cstheme="minorHAnsi"/>
                <w:sz w:val="18"/>
                <w:szCs w:val="18"/>
                <w:lang w:val="es-CO"/>
              </w:rPr>
            </w:pPr>
            <w:r w:rsidRPr="0009027B">
              <w:rPr>
                <w:rFonts w:cstheme="minorHAnsi"/>
                <w:sz w:val="18"/>
                <w:szCs w:val="18"/>
                <w:lang w:val="es-CO"/>
              </w:rPr>
              <w:t>El PIB per cápita es el producto interno bruto dividido por la población a mitad de año.</w:t>
            </w:r>
          </w:p>
          <w:p w:rsidR="0009027B" w:rsidRPr="0009027B" w:rsidRDefault="0009027B" w:rsidP="008A4689">
            <w:pPr>
              <w:spacing w:after="0" w:line="240" w:lineRule="auto"/>
              <w:rPr>
                <w:rFonts w:cstheme="minorHAnsi"/>
                <w:sz w:val="18"/>
                <w:szCs w:val="18"/>
                <w:lang w:val="es-CO"/>
              </w:rPr>
            </w:pPr>
            <w:r w:rsidRPr="0009027B">
              <w:rPr>
                <w:rFonts w:cstheme="minorHAnsi"/>
                <w:sz w:val="18"/>
                <w:szCs w:val="18"/>
                <w:lang w:val="es-CO"/>
              </w:rPr>
              <w:t>Los datos están en la moneda local actual.</w:t>
            </w:r>
          </w:p>
          <w:p w:rsidR="0009027B" w:rsidRPr="0009027B" w:rsidRDefault="0009027B" w:rsidP="008A4689">
            <w:pPr>
              <w:rPr>
                <w:rFonts w:cstheme="minorHAnsi"/>
                <w:sz w:val="18"/>
                <w:szCs w:val="18"/>
                <w:lang w:val="es-CO"/>
              </w:rPr>
            </w:pPr>
          </w:p>
        </w:tc>
        <w:tc>
          <w:tcPr>
            <w:tcW w:w="1770" w:type="dxa"/>
          </w:tcPr>
          <w:p w:rsidR="0009027B" w:rsidRPr="0009027B" w:rsidRDefault="0009027B" w:rsidP="008A4689">
            <w:pPr>
              <w:spacing w:before="60" w:after="75" w:line="270" w:lineRule="atLeast"/>
              <w:rPr>
                <w:rFonts w:cstheme="minorHAnsi"/>
                <w:color w:val="333333"/>
                <w:sz w:val="18"/>
                <w:szCs w:val="18"/>
                <w:lang w:val="es-CO"/>
              </w:rPr>
            </w:pPr>
            <w:r w:rsidRPr="0009027B">
              <w:rPr>
                <w:rFonts w:cstheme="minorHAnsi"/>
                <w:color w:val="333333"/>
                <w:sz w:val="18"/>
                <w:szCs w:val="18"/>
              </w:rPr>
              <w:t>NY.GDP.PCAP.CN</w:t>
            </w:r>
          </w:p>
          <w:p w:rsidR="0009027B" w:rsidRPr="0009027B" w:rsidRDefault="0009027B" w:rsidP="008A4689">
            <w:pPr>
              <w:rPr>
                <w:rFonts w:cstheme="minorHAnsi"/>
                <w:sz w:val="18"/>
                <w:szCs w:val="18"/>
                <w:lang w:val="es-CO"/>
              </w:rPr>
            </w:pPr>
          </w:p>
        </w:tc>
        <w:tc>
          <w:tcPr>
            <w:tcW w:w="2385" w:type="dxa"/>
          </w:tcPr>
          <w:p w:rsidR="0009027B" w:rsidRPr="0009027B" w:rsidRDefault="0009027B" w:rsidP="008A4689">
            <w:pPr>
              <w:spacing w:before="60" w:after="75" w:line="270" w:lineRule="atLeast"/>
              <w:rPr>
                <w:rFonts w:cstheme="minorHAnsi"/>
                <w:color w:val="333333"/>
                <w:sz w:val="18"/>
                <w:szCs w:val="18"/>
              </w:rPr>
            </w:pPr>
            <w:r w:rsidRPr="0009027B">
              <w:rPr>
                <w:rFonts w:cstheme="minorHAnsi"/>
                <w:sz w:val="18"/>
                <w:szCs w:val="18"/>
                <w:lang w:val="es-CO"/>
              </w:rPr>
              <w:t>Fuente Datos de cuentas nacionales del Banco Mundial y archivos de datos de cuentas nacionales de la OCDE.</w:t>
            </w:r>
          </w:p>
        </w:tc>
      </w:tr>
      <w:tr w:rsidR="0009027B" w:rsidRPr="0009027B" w:rsidTr="00F05F81">
        <w:tc>
          <w:tcPr>
            <w:tcW w:w="2047" w:type="dxa"/>
          </w:tcPr>
          <w:p w:rsidR="0009027B" w:rsidRPr="0009027B" w:rsidRDefault="0009027B" w:rsidP="001B5C8D">
            <w:pPr>
              <w:spacing w:before="60" w:after="75" w:line="270" w:lineRule="atLeast"/>
              <w:rPr>
                <w:rFonts w:cstheme="minorHAnsi"/>
                <w:color w:val="333333"/>
                <w:sz w:val="18"/>
                <w:szCs w:val="18"/>
                <w:lang w:val="en-US"/>
              </w:rPr>
            </w:pPr>
            <w:r w:rsidRPr="0009027B">
              <w:rPr>
                <w:rFonts w:cstheme="minorHAnsi"/>
                <w:color w:val="333333"/>
                <w:sz w:val="18"/>
                <w:szCs w:val="18"/>
                <w:lang w:val="en-US"/>
              </w:rPr>
              <w:t>Homicide Rate, 2021</w:t>
            </w:r>
          </w:p>
        </w:tc>
        <w:tc>
          <w:tcPr>
            <w:tcW w:w="2626" w:type="dxa"/>
          </w:tcPr>
          <w:p w:rsidR="0009027B" w:rsidRPr="0009027B" w:rsidRDefault="0009027B" w:rsidP="00C5458C">
            <w:pPr>
              <w:jc w:val="both"/>
              <w:rPr>
                <w:rFonts w:cstheme="minorHAnsi"/>
                <w:sz w:val="18"/>
                <w:szCs w:val="18"/>
                <w:lang w:val="es-CO"/>
              </w:rPr>
            </w:pPr>
            <w:r w:rsidRPr="0009027B">
              <w:rPr>
                <w:rFonts w:cstheme="minorHAnsi"/>
                <w:sz w:val="18"/>
                <w:szCs w:val="18"/>
                <w:lang w:val="es-CO"/>
              </w:rPr>
              <w:t>Los homicidios, cuando las personas matan intencional e ilegalmente a otros por motivos personales, son los delitos más graves.</w:t>
            </w:r>
          </w:p>
        </w:tc>
        <w:tc>
          <w:tcPr>
            <w:tcW w:w="1770" w:type="dxa"/>
          </w:tcPr>
          <w:p w:rsidR="0009027B" w:rsidRPr="0009027B" w:rsidRDefault="0009027B" w:rsidP="008A4689">
            <w:pPr>
              <w:spacing w:before="60" w:after="75" w:line="270" w:lineRule="atLeast"/>
              <w:rPr>
                <w:rFonts w:cstheme="minorHAnsi"/>
                <w:color w:val="333333"/>
                <w:sz w:val="18"/>
                <w:szCs w:val="18"/>
                <w:shd w:val="clear" w:color="auto" w:fill="FFFFFF"/>
                <w:lang w:val="es-CO"/>
              </w:rPr>
            </w:pPr>
          </w:p>
        </w:tc>
        <w:tc>
          <w:tcPr>
            <w:tcW w:w="2385" w:type="dxa"/>
          </w:tcPr>
          <w:p w:rsidR="0009027B" w:rsidRPr="0009027B" w:rsidRDefault="0009027B" w:rsidP="001B5C8D">
            <w:pPr>
              <w:spacing w:before="60" w:after="75" w:line="270" w:lineRule="atLeast"/>
              <w:rPr>
                <w:rFonts w:cstheme="minorHAnsi"/>
                <w:color w:val="333333"/>
                <w:sz w:val="18"/>
                <w:szCs w:val="18"/>
                <w:lang w:val="es-CO"/>
              </w:rPr>
            </w:pPr>
            <w:r w:rsidRPr="0009027B">
              <w:rPr>
                <w:rFonts w:cstheme="minorHAnsi"/>
                <w:color w:val="333333"/>
                <w:sz w:val="18"/>
                <w:szCs w:val="18"/>
                <w:lang w:val="es-CO"/>
              </w:rPr>
              <w:t>https://ourworldindata.org/homicides</w:t>
            </w:r>
          </w:p>
        </w:tc>
      </w:tr>
      <w:tr w:rsidR="0009027B" w:rsidRPr="0009027B" w:rsidTr="00F05F81">
        <w:tc>
          <w:tcPr>
            <w:tcW w:w="2047" w:type="dxa"/>
          </w:tcPr>
          <w:p w:rsidR="0009027B" w:rsidRPr="0009027B" w:rsidRDefault="0009027B" w:rsidP="001B5C8D">
            <w:pPr>
              <w:spacing w:before="60" w:after="75" w:line="270" w:lineRule="atLeast"/>
              <w:rPr>
                <w:rFonts w:cstheme="minorHAnsi"/>
                <w:color w:val="333333"/>
                <w:sz w:val="18"/>
                <w:szCs w:val="18"/>
                <w:lang w:val="en-US"/>
              </w:rPr>
            </w:pPr>
            <w:r w:rsidRPr="0009027B">
              <w:rPr>
                <w:rFonts w:cstheme="minorHAnsi"/>
                <w:color w:val="333333"/>
                <w:sz w:val="18"/>
                <w:szCs w:val="18"/>
                <w:lang w:val="en-US"/>
              </w:rPr>
              <w:t>Human Rights Index</w:t>
            </w:r>
          </w:p>
        </w:tc>
        <w:tc>
          <w:tcPr>
            <w:tcW w:w="2626" w:type="dxa"/>
          </w:tcPr>
          <w:p w:rsidR="0009027B" w:rsidRPr="0009027B" w:rsidRDefault="0009027B" w:rsidP="00C5458C">
            <w:pPr>
              <w:spacing w:after="0" w:line="240" w:lineRule="auto"/>
              <w:jc w:val="both"/>
              <w:rPr>
                <w:rFonts w:cstheme="minorHAnsi"/>
                <w:sz w:val="18"/>
                <w:szCs w:val="18"/>
                <w:lang w:val="es-CO"/>
              </w:rPr>
            </w:pPr>
            <w:r w:rsidRPr="0009027B">
              <w:rPr>
                <w:rFonts w:cstheme="minorHAnsi"/>
                <w:sz w:val="18"/>
                <w:szCs w:val="18"/>
                <w:lang w:val="es-CO"/>
              </w:rPr>
              <w:t>Basado en las evaluaciones de expertos y el índice de V-</w:t>
            </w:r>
            <w:proofErr w:type="spellStart"/>
            <w:r w:rsidRPr="0009027B">
              <w:rPr>
                <w:rFonts w:cstheme="minorHAnsi"/>
                <w:sz w:val="18"/>
                <w:szCs w:val="18"/>
                <w:lang w:val="es-CO"/>
              </w:rPr>
              <w:t>Dem</w:t>
            </w:r>
            <w:proofErr w:type="spellEnd"/>
            <w:r w:rsidRPr="0009027B">
              <w:rPr>
                <w:rFonts w:cstheme="minorHAnsi"/>
                <w:sz w:val="18"/>
                <w:szCs w:val="18"/>
                <w:lang w:val="es-CO"/>
              </w:rPr>
              <w:t>. Capta hasta qué punto las personas están libres de</w:t>
            </w:r>
          </w:p>
          <w:p w:rsidR="0009027B" w:rsidRPr="0009027B" w:rsidRDefault="0009027B" w:rsidP="00C5458C">
            <w:pPr>
              <w:spacing w:after="0" w:line="240" w:lineRule="auto"/>
              <w:jc w:val="both"/>
              <w:rPr>
                <w:rFonts w:cstheme="minorHAnsi"/>
                <w:sz w:val="18"/>
                <w:szCs w:val="18"/>
                <w:lang w:val="es-CO"/>
              </w:rPr>
            </w:pPr>
            <w:r w:rsidRPr="0009027B">
              <w:rPr>
                <w:rFonts w:cstheme="minorHAnsi"/>
                <w:sz w:val="18"/>
                <w:szCs w:val="18"/>
                <w:lang w:val="es-CO"/>
              </w:rPr>
              <w:t>tortura gubernamental, asesinatos políticos y trabajos forzados; tienen derechos de propiedad; y disfrutar de las libertades de</w:t>
            </w:r>
          </w:p>
          <w:p w:rsidR="0009027B" w:rsidRPr="0009027B" w:rsidRDefault="0009027B" w:rsidP="00C5458C">
            <w:pPr>
              <w:jc w:val="both"/>
              <w:rPr>
                <w:rFonts w:cstheme="minorHAnsi"/>
                <w:sz w:val="18"/>
                <w:szCs w:val="18"/>
                <w:lang w:val="es-CO"/>
              </w:rPr>
            </w:pPr>
            <w:r w:rsidRPr="0009027B">
              <w:rPr>
                <w:rFonts w:cstheme="minorHAnsi"/>
                <w:sz w:val="18"/>
                <w:szCs w:val="18"/>
                <w:lang w:val="es-CO"/>
              </w:rPr>
              <w:t>movimiento, religión, expresión y asociación. La variable va de 0 a 1 (la mayoría de los derechos).</w:t>
            </w:r>
          </w:p>
        </w:tc>
        <w:tc>
          <w:tcPr>
            <w:tcW w:w="1770" w:type="dxa"/>
          </w:tcPr>
          <w:p w:rsidR="0009027B" w:rsidRPr="0009027B" w:rsidRDefault="0009027B" w:rsidP="008A4689">
            <w:pPr>
              <w:spacing w:before="60" w:after="75" w:line="270" w:lineRule="atLeast"/>
              <w:rPr>
                <w:rFonts w:cstheme="minorHAnsi"/>
                <w:color w:val="333333"/>
                <w:sz w:val="18"/>
                <w:szCs w:val="18"/>
                <w:shd w:val="clear" w:color="auto" w:fill="FFFFFF"/>
                <w:lang w:val="es-CO"/>
              </w:rPr>
            </w:pPr>
          </w:p>
        </w:tc>
        <w:tc>
          <w:tcPr>
            <w:tcW w:w="2385" w:type="dxa"/>
          </w:tcPr>
          <w:p w:rsidR="0009027B" w:rsidRPr="0009027B" w:rsidRDefault="0009027B" w:rsidP="001B5C8D">
            <w:pPr>
              <w:spacing w:before="60" w:after="75" w:line="270" w:lineRule="atLeast"/>
              <w:rPr>
                <w:rFonts w:cstheme="minorHAnsi"/>
                <w:color w:val="333333"/>
                <w:sz w:val="18"/>
                <w:szCs w:val="18"/>
                <w:lang w:val="es-CO"/>
              </w:rPr>
            </w:pPr>
            <w:r w:rsidRPr="0009027B">
              <w:rPr>
                <w:rFonts w:cstheme="minorHAnsi"/>
                <w:color w:val="333333"/>
                <w:sz w:val="18"/>
                <w:szCs w:val="18"/>
                <w:lang w:val="es-CO"/>
              </w:rPr>
              <w:t>https://ourworldindata.org/human-rights</w:t>
            </w:r>
          </w:p>
        </w:tc>
      </w:tr>
      <w:tr w:rsidR="0009027B" w:rsidRPr="0009027B" w:rsidTr="00F05F81">
        <w:tc>
          <w:tcPr>
            <w:tcW w:w="2047" w:type="dxa"/>
          </w:tcPr>
          <w:p w:rsidR="0009027B" w:rsidRPr="0009027B" w:rsidRDefault="0009027B" w:rsidP="001B5C8D">
            <w:pPr>
              <w:spacing w:before="60" w:after="75" w:line="270" w:lineRule="atLeast"/>
              <w:rPr>
                <w:rFonts w:cstheme="minorHAnsi"/>
                <w:color w:val="333333"/>
                <w:sz w:val="18"/>
                <w:szCs w:val="18"/>
                <w:lang w:val="en-US"/>
              </w:rPr>
            </w:pPr>
            <w:proofErr w:type="spellStart"/>
            <w:r w:rsidRPr="0009027B">
              <w:rPr>
                <w:rFonts w:cstheme="minorHAnsi"/>
                <w:color w:val="333333"/>
                <w:sz w:val="18"/>
                <w:szCs w:val="18"/>
                <w:lang w:val="en-US"/>
              </w:rPr>
              <w:t>Indice</w:t>
            </w:r>
            <w:proofErr w:type="spellEnd"/>
            <w:r w:rsidRPr="0009027B">
              <w:rPr>
                <w:rFonts w:cstheme="minorHAnsi"/>
                <w:color w:val="333333"/>
                <w:sz w:val="18"/>
                <w:szCs w:val="18"/>
                <w:lang w:val="en-US"/>
              </w:rPr>
              <w:t xml:space="preserve"> de </w:t>
            </w:r>
            <w:proofErr w:type="spellStart"/>
            <w:r w:rsidRPr="0009027B">
              <w:rPr>
                <w:rFonts w:cstheme="minorHAnsi"/>
                <w:color w:val="333333"/>
                <w:sz w:val="18"/>
                <w:szCs w:val="18"/>
                <w:lang w:val="en-US"/>
              </w:rPr>
              <w:t>Desarrolo</w:t>
            </w:r>
            <w:proofErr w:type="spellEnd"/>
            <w:r w:rsidRPr="0009027B">
              <w:rPr>
                <w:rFonts w:cstheme="minorHAnsi"/>
                <w:color w:val="333333"/>
                <w:sz w:val="18"/>
                <w:szCs w:val="18"/>
                <w:lang w:val="en-US"/>
              </w:rPr>
              <w:t xml:space="preserve"> Humano</w:t>
            </w:r>
          </w:p>
        </w:tc>
        <w:tc>
          <w:tcPr>
            <w:tcW w:w="2626" w:type="dxa"/>
          </w:tcPr>
          <w:p w:rsidR="0009027B" w:rsidRPr="0009027B" w:rsidRDefault="0009027B" w:rsidP="00C5458C">
            <w:pPr>
              <w:jc w:val="both"/>
              <w:rPr>
                <w:rFonts w:cstheme="minorHAnsi"/>
                <w:sz w:val="18"/>
                <w:szCs w:val="18"/>
                <w:lang w:val="es-CO"/>
              </w:rPr>
            </w:pPr>
            <w:r w:rsidRPr="0009027B">
              <w:rPr>
                <w:rFonts w:cstheme="minorHAnsi"/>
                <w:sz w:val="18"/>
                <w:szCs w:val="18"/>
                <w:lang w:val="es-CO"/>
              </w:rPr>
              <w:t>El Índice de Desarrollo Humano (IDH) es una medida resumida del logro promedio en dimensiones clave del desarrollo humano: una vida larga y saludable, estar bien informado y tener un nivel de vida digno. El IDH es la media geométrica de los índices normalizados para cada una de las tres dimensiones.</w:t>
            </w:r>
            <w:r w:rsidRPr="0009027B">
              <w:rPr>
                <w:rFonts w:cstheme="minorHAnsi"/>
                <w:sz w:val="18"/>
                <w:szCs w:val="18"/>
                <w:lang w:val="es-CO"/>
              </w:rPr>
              <w:t xml:space="preserve"> </w:t>
            </w:r>
            <w:r w:rsidRPr="0009027B">
              <w:rPr>
                <w:rFonts w:cstheme="minorHAnsi"/>
                <w:sz w:val="18"/>
                <w:szCs w:val="18"/>
                <w:lang w:val="es-CO"/>
              </w:rPr>
              <w:t>La dimensión salud se evalúa por la esperanza de vida al nacer, la dimensión educación se mide por medio de los años de escolaridad de los adultos de 25 años y más y los años esperados de escolaridad de los niños en edad de ingresar a la escuela. La dimensión del nivel de vida se mide por el ingreso nacional bruto per cápita. El IDH utiliza el logaritmo de los ingresos para reflejar la disminución de la importancia de los ingresos a medida que aumenta el INB. Las puntuaciones de los tres índices de las dimensiones del IDH se agregan luego en un índice compuesto utilizando la media geométrica. Consulte las Notas técnicas para obtener más detalles.</w:t>
            </w:r>
            <w:r w:rsidRPr="0009027B">
              <w:rPr>
                <w:rFonts w:cstheme="minorHAnsi"/>
                <w:sz w:val="18"/>
                <w:szCs w:val="18"/>
                <w:lang w:val="es-CO"/>
              </w:rPr>
              <w:t xml:space="preserve"> </w:t>
            </w:r>
            <w:r w:rsidRPr="0009027B">
              <w:rPr>
                <w:rFonts w:cstheme="minorHAnsi"/>
                <w:sz w:val="18"/>
                <w:szCs w:val="18"/>
                <w:lang w:val="es-CO"/>
              </w:rPr>
              <w:t>La variable va de 0 a 1</w:t>
            </w:r>
          </w:p>
        </w:tc>
        <w:tc>
          <w:tcPr>
            <w:tcW w:w="1770" w:type="dxa"/>
          </w:tcPr>
          <w:p w:rsidR="0009027B" w:rsidRPr="0009027B" w:rsidRDefault="0009027B" w:rsidP="008A4689">
            <w:pPr>
              <w:spacing w:before="60" w:after="75" w:line="270" w:lineRule="atLeast"/>
              <w:rPr>
                <w:rFonts w:cstheme="minorHAnsi"/>
                <w:color w:val="333333"/>
                <w:sz w:val="18"/>
                <w:szCs w:val="18"/>
                <w:shd w:val="clear" w:color="auto" w:fill="FFFFFF"/>
                <w:lang w:val="es-CO"/>
              </w:rPr>
            </w:pPr>
          </w:p>
        </w:tc>
        <w:tc>
          <w:tcPr>
            <w:tcW w:w="2385" w:type="dxa"/>
          </w:tcPr>
          <w:p w:rsidR="0009027B" w:rsidRPr="0009027B" w:rsidRDefault="0009027B" w:rsidP="001B5C8D">
            <w:pPr>
              <w:spacing w:before="60" w:after="75" w:line="270" w:lineRule="atLeast"/>
              <w:rPr>
                <w:rFonts w:cstheme="minorHAnsi"/>
                <w:color w:val="333333"/>
                <w:sz w:val="18"/>
                <w:szCs w:val="18"/>
                <w:lang w:val="en-US"/>
              </w:rPr>
            </w:pPr>
            <w:r w:rsidRPr="0009027B">
              <w:rPr>
                <w:rFonts w:cstheme="minorHAnsi"/>
                <w:color w:val="333333"/>
                <w:sz w:val="18"/>
                <w:szCs w:val="18"/>
                <w:lang w:val="en-US"/>
              </w:rPr>
              <w:t>https://hdr.undp.org/data-center/human-development-index#/indicies/HDI</w:t>
            </w:r>
          </w:p>
        </w:tc>
      </w:tr>
      <w:tr w:rsidR="0009027B" w:rsidRPr="0009027B" w:rsidTr="00F05F81">
        <w:tc>
          <w:tcPr>
            <w:tcW w:w="2047" w:type="dxa"/>
          </w:tcPr>
          <w:p w:rsidR="0009027B" w:rsidRPr="0009027B" w:rsidRDefault="0009027B" w:rsidP="008A4689">
            <w:pPr>
              <w:rPr>
                <w:rFonts w:cstheme="minorHAnsi"/>
                <w:sz w:val="18"/>
                <w:szCs w:val="18"/>
                <w:lang w:val="es-CO"/>
              </w:rPr>
            </w:pPr>
            <w:r w:rsidRPr="0009027B">
              <w:rPr>
                <w:rFonts w:cstheme="minorHAnsi"/>
                <w:sz w:val="18"/>
                <w:szCs w:val="18"/>
                <w:lang w:val="en-US"/>
              </w:rPr>
              <w:lastRenderedPageBreak/>
              <w:t>Inflation, Consumer Prices (Annual %)</w:t>
            </w:r>
          </w:p>
        </w:tc>
        <w:tc>
          <w:tcPr>
            <w:tcW w:w="2626" w:type="dxa"/>
          </w:tcPr>
          <w:p w:rsidR="0009027B" w:rsidRPr="0009027B" w:rsidRDefault="0009027B" w:rsidP="008A4689">
            <w:pPr>
              <w:spacing w:after="0" w:line="240" w:lineRule="auto"/>
              <w:rPr>
                <w:rFonts w:cstheme="minorHAnsi"/>
                <w:sz w:val="18"/>
                <w:szCs w:val="18"/>
                <w:lang w:val="es-CO"/>
              </w:rPr>
            </w:pPr>
            <w:r w:rsidRPr="0009027B">
              <w:rPr>
                <w:rFonts w:cstheme="minorHAnsi"/>
                <w:sz w:val="18"/>
                <w:szCs w:val="18"/>
                <w:lang w:val="es-CO"/>
              </w:rPr>
              <w:t>La inflación medida por el índice de precios al consumidor refleja el cambio porcentual anual en el costo para el consumidor promedio de adquirir una canasta de bienes y servicios que puede ser fijo o cambiar en intervalos específicos, como anualmente. Generalmente se utiliza la fórmula de Laspeyres.</w:t>
            </w:r>
          </w:p>
          <w:p w:rsidR="0009027B" w:rsidRPr="0009027B" w:rsidRDefault="0009027B" w:rsidP="008A4689">
            <w:pPr>
              <w:rPr>
                <w:rFonts w:cstheme="minorHAnsi"/>
                <w:sz w:val="18"/>
                <w:szCs w:val="18"/>
                <w:lang w:val="es-CO"/>
              </w:rPr>
            </w:pPr>
          </w:p>
        </w:tc>
        <w:tc>
          <w:tcPr>
            <w:tcW w:w="1770" w:type="dxa"/>
          </w:tcPr>
          <w:p w:rsidR="0009027B" w:rsidRPr="0009027B" w:rsidRDefault="0009027B" w:rsidP="008A4689">
            <w:pPr>
              <w:spacing w:before="60" w:after="75" w:line="270" w:lineRule="atLeast"/>
              <w:rPr>
                <w:rFonts w:cstheme="minorHAnsi"/>
                <w:color w:val="333333"/>
                <w:sz w:val="18"/>
                <w:szCs w:val="18"/>
                <w:lang w:val="es-CO"/>
              </w:rPr>
            </w:pPr>
            <w:proofErr w:type="gramStart"/>
            <w:r w:rsidRPr="0009027B">
              <w:rPr>
                <w:rFonts w:cstheme="minorHAnsi"/>
                <w:color w:val="333333"/>
                <w:sz w:val="18"/>
                <w:szCs w:val="18"/>
              </w:rPr>
              <w:t>FP.CPI.TOTL.ZG</w:t>
            </w:r>
            <w:proofErr w:type="gramEnd"/>
          </w:p>
          <w:p w:rsidR="0009027B" w:rsidRPr="0009027B" w:rsidRDefault="0009027B" w:rsidP="008A4689">
            <w:pPr>
              <w:rPr>
                <w:rFonts w:cstheme="minorHAnsi"/>
                <w:sz w:val="18"/>
                <w:szCs w:val="18"/>
                <w:lang w:val="es-CO"/>
              </w:rPr>
            </w:pPr>
          </w:p>
        </w:tc>
        <w:tc>
          <w:tcPr>
            <w:tcW w:w="2385" w:type="dxa"/>
          </w:tcPr>
          <w:p w:rsidR="0009027B" w:rsidRPr="0009027B" w:rsidRDefault="0009027B" w:rsidP="008A4689">
            <w:pPr>
              <w:spacing w:before="60" w:after="75" w:line="270" w:lineRule="atLeast"/>
              <w:rPr>
                <w:rFonts w:cstheme="minorHAnsi"/>
                <w:color w:val="333333"/>
                <w:sz w:val="18"/>
                <w:szCs w:val="18"/>
              </w:rPr>
            </w:pPr>
            <w:r w:rsidRPr="0009027B">
              <w:rPr>
                <w:rFonts w:cstheme="minorHAnsi"/>
                <w:sz w:val="18"/>
                <w:szCs w:val="18"/>
                <w:lang w:val="es-CO"/>
              </w:rPr>
              <w:t>Fuente Fondo Monetario Internacional, Estadísticas Financieras Internacionales y archivos de datos.</w:t>
            </w:r>
          </w:p>
        </w:tc>
      </w:tr>
      <w:tr w:rsidR="0009027B" w:rsidRPr="0009027B" w:rsidTr="00F05F81">
        <w:tc>
          <w:tcPr>
            <w:tcW w:w="2047" w:type="dxa"/>
          </w:tcPr>
          <w:p w:rsidR="0009027B" w:rsidRPr="0009027B" w:rsidRDefault="0009027B" w:rsidP="008A4689">
            <w:pPr>
              <w:rPr>
                <w:rFonts w:cstheme="minorHAnsi"/>
                <w:sz w:val="18"/>
                <w:szCs w:val="18"/>
                <w:lang w:val="en-US"/>
              </w:rPr>
            </w:pPr>
            <w:r w:rsidRPr="0009027B">
              <w:rPr>
                <w:rFonts w:cstheme="minorHAnsi"/>
                <w:sz w:val="18"/>
                <w:szCs w:val="18"/>
                <w:lang w:val="en-US"/>
              </w:rPr>
              <w:t>Inflation, GDP Deflator (Annual %)</w:t>
            </w:r>
          </w:p>
        </w:tc>
        <w:tc>
          <w:tcPr>
            <w:tcW w:w="2626" w:type="dxa"/>
          </w:tcPr>
          <w:p w:rsidR="0009027B" w:rsidRPr="0009027B" w:rsidRDefault="0009027B" w:rsidP="007D0A0C">
            <w:pPr>
              <w:spacing w:after="0" w:line="240" w:lineRule="auto"/>
              <w:rPr>
                <w:rFonts w:cstheme="minorHAnsi"/>
                <w:sz w:val="18"/>
                <w:szCs w:val="18"/>
                <w:lang w:val="es-CO"/>
              </w:rPr>
            </w:pPr>
            <w:r w:rsidRPr="0009027B">
              <w:rPr>
                <w:rFonts w:cstheme="minorHAnsi"/>
                <w:sz w:val="18"/>
                <w:szCs w:val="18"/>
                <w:lang w:val="es-CO"/>
              </w:rPr>
              <w:t>La inflación, medida por la tasa de crecimiento anual del deflactor implícito del PIB, muestra la tasa de cambio de precios en la economía en su conjunto. El deflactor implícito del PIB es la relación entre el PIB en moneda local corriente y el PIB en moneda local constante.</w:t>
            </w:r>
          </w:p>
          <w:p w:rsidR="0009027B" w:rsidRPr="0009027B" w:rsidRDefault="0009027B" w:rsidP="007D0A0C">
            <w:pPr>
              <w:rPr>
                <w:rFonts w:cstheme="minorHAnsi"/>
                <w:sz w:val="18"/>
                <w:szCs w:val="18"/>
                <w:lang w:val="es-CO"/>
              </w:rPr>
            </w:pPr>
          </w:p>
        </w:tc>
        <w:tc>
          <w:tcPr>
            <w:tcW w:w="1770" w:type="dxa"/>
          </w:tcPr>
          <w:p w:rsidR="0009027B" w:rsidRPr="0009027B" w:rsidRDefault="0009027B" w:rsidP="008A4689">
            <w:pPr>
              <w:spacing w:before="60" w:after="75" w:line="270" w:lineRule="atLeast"/>
              <w:rPr>
                <w:rFonts w:cstheme="minorHAnsi"/>
                <w:color w:val="333333"/>
                <w:sz w:val="18"/>
                <w:szCs w:val="18"/>
                <w:lang w:val="es-CO"/>
              </w:rPr>
            </w:pPr>
            <w:r w:rsidRPr="0009027B">
              <w:rPr>
                <w:rFonts w:cstheme="minorHAnsi"/>
                <w:sz w:val="18"/>
                <w:szCs w:val="18"/>
                <w:lang w:val="es-CO"/>
              </w:rPr>
              <w:t>NY.GDP.DEFL.</w:t>
            </w:r>
            <w:proofErr w:type="gramStart"/>
            <w:r w:rsidRPr="0009027B">
              <w:rPr>
                <w:rFonts w:cstheme="minorHAnsi"/>
                <w:sz w:val="18"/>
                <w:szCs w:val="18"/>
                <w:lang w:val="es-CO"/>
              </w:rPr>
              <w:t>KD.ZG</w:t>
            </w:r>
            <w:proofErr w:type="gramEnd"/>
          </w:p>
        </w:tc>
        <w:tc>
          <w:tcPr>
            <w:tcW w:w="2385" w:type="dxa"/>
          </w:tcPr>
          <w:p w:rsidR="0009027B" w:rsidRPr="0009027B" w:rsidRDefault="0009027B" w:rsidP="008A4689">
            <w:pPr>
              <w:spacing w:before="60" w:after="75" w:line="270" w:lineRule="atLeast"/>
              <w:rPr>
                <w:rFonts w:cstheme="minorHAnsi"/>
                <w:sz w:val="18"/>
                <w:szCs w:val="18"/>
                <w:lang w:val="es-CO"/>
              </w:rPr>
            </w:pPr>
            <w:r w:rsidRPr="0009027B">
              <w:rPr>
                <w:rFonts w:cstheme="minorHAnsi"/>
                <w:sz w:val="18"/>
                <w:szCs w:val="18"/>
                <w:lang w:val="es-CO"/>
              </w:rPr>
              <w:t>Fuente Datos de cuentas nacionales del Banco Mundial y archivos de datos de cuentas nacionales de la OCDE.</w:t>
            </w:r>
          </w:p>
        </w:tc>
      </w:tr>
      <w:tr w:rsidR="0009027B" w:rsidRPr="0009027B" w:rsidTr="00F05F81">
        <w:tc>
          <w:tcPr>
            <w:tcW w:w="2047" w:type="dxa"/>
          </w:tcPr>
          <w:p w:rsidR="0009027B" w:rsidRPr="0009027B" w:rsidRDefault="0009027B" w:rsidP="001B5C8D">
            <w:pPr>
              <w:spacing w:before="60" w:after="75" w:line="270" w:lineRule="atLeast"/>
              <w:rPr>
                <w:rFonts w:cstheme="minorHAnsi"/>
                <w:color w:val="333333"/>
                <w:sz w:val="18"/>
                <w:szCs w:val="18"/>
                <w:lang w:val="en-US"/>
              </w:rPr>
            </w:pPr>
            <w:r w:rsidRPr="0009027B">
              <w:rPr>
                <w:rFonts w:cstheme="minorHAnsi"/>
                <w:color w:val="333333"/>
                <w:sz w:val="18"/>
                <w:szCs w:val="18"/>
                <w:lang w:val="en-US"/>
              </w:rPr>
              <w:t>International migrant stock (% of population)</w:t>
            </w:r>
          </w:p>
        </w:tc>
        <w:tc>
          <w:tcPr>
            <w:tcW w:w="2626" w:type="dxa"/>
          </w:tcPr>
          <w:p w:rsidR="0009027B" w:rsidRPr="0009027B" w:rsidRDefault="0009027B" w:rsidP="00F05F81">
            <w:pPr>
              <w:jc w:val="both"/>
              <w:rPr>
                <w:rFonts w:cstheme="minorHAnsi"/>
                <w:sz w:val="18"/>
                <w:szCs w:val="18"/>
                <w:lang w:val="es-CO"/>
              </w:rPr>
            </w:pPr>
            <w:r w:rsidRPr="0009027B">
              <w:rPr>
                <w:rFonts w:cstheme="minorHAnsi"/>
                <w:sz w:val="18"/>
                <w:szCs w:val="18"/>
                <w:lang w:val="es-CO"/>
              </w:rPr>
              <w:t xml:space="preserve">El stock de migrantes internacionales es el número de personas nacidas en un país diferente a aquel en el que viven. También incluye a los refugiados. Los datos utilizados para estimar el stock de migrantes internacionales en un momento determinado se obtienen principalmente de los censos de población. Las estimaciones se derivan de los datos sobre la población nacida en el extranjero: personas que tienen residencia en un </w:t>
            </w:r>
            <w:proofErr w:type="gramStart"/>
            <w:r w:rsidRPr="0009027B">
              <w:rPr>
                <w:rFonts w:cstheme="minorHAnsi"/>
                <w:sz w:val="18"/>
                <w:szCs w:val="18"/>
                <w:lang w:val="es-CO"/>
              </w:rPr>
              <w:t>país</w:t>
            </w:r>
            <w:proofErr w:type="gramEnd"/>
            <w:r w:rsidRPr="0009027B">
              <w:rPr>
                <w:rFonts w:cstheme="minorHAnsi"/>
                <w:sz w:val="18"/>
                <w:szCs w:val="18"/>
                <w:lang w:val="es-CO"/>
              </w:rPr>
              <w:t xml:space="preserve"> pero nacieron en otro país. Cuando no se dispone de datos sobre la población nacida en el extranjero, se utilizan como estimaciones los datos sobre la población extranjera, es decir, las personas que son ciudadanos de un país distinto del país en el que residen. Después de la desintegración de la Unión Soviética en 1991, las personas que vivían en uno de los países recientemente independizados que nacieron en otro fueron clasificadas como inmigrantes internacionales. Las estimaciones de población migrante en los nuevos estados independientes a partir de 1990 se basan en el censo de 1989 de la Unión Soviética. Para los países con información sobre el stock de migrantes internacionales para al </w:t>
            </w:r>
            <w:r w:rsidRPr="0009027B">
              <w:rPr>
                <w:rFonts w:cstheme="minorHAnsi"/>
                <w:sz w:val="18"/>
                <w:szCs w:val="18"/>
                <w:lang w:val="es-CO"/>
              </w:rPr>
              <w:lastRenderedPageBreak/>
              <w:t>menos dos puntos en el tiempo, se utilizó la interpolación o extrapolación para estimar el stock de migrantes internacionales el 1 de julio de los años de referencia. Para los países con una sola observación, las estimaciones para los años de referencia se derivaron utilizando las tasas de cambio en la población migrante en los años anteriores o posteriores a la única observación disponible. Se utilizó un modelo para estimar los migrantes de países que no tenían datos.</w:t>
            </w:r>
          </w:p>
        </w:tc>
        <w:tc>
          <w:tcPr>
            <w:tcW w:w="1770" w:type="dxa"/>
          </w:tcPr>
          <w:p w:rsidR="0009027B" w:rsidRPr="0009027B" w:rsidRDefault="0009027B" w:rsidP="008A4689">
            <w:pPr>
              <w:spacing w:before="60" w:after="75" w:line="270" w:lineRule="atLeast"/>
              <w:rPr>
                <w:rFonts w:cstheme="minorHAnsi"/>
                <w:color w:val="333333"/>
                <w:sz w:val="18"/>
                <w:szCs w:val="18"/>
                <w:lang w:val="en-US"/>
              </w:rPr>
            </w:pPr>
            <w:proofErr w:type="gramStart"/>
            <w:r w:rsidRPr="0009027B">
              <w:rPr>
                <w:rFonts w:cstheme="minorHAnsi"/>
                <w:color w:val="333333"/>
                <w:sz w:val="18"/>
                <w:szCs w:val="18"/>
                <w:shd w:val="clear" w:color="auto" w:fill="FFFFFF"/>
              </w:rPr>
              <w:lastRenderedPageBreak/>
              <w:t>SM.POP.TOTL.ZS</w:t>
            </w:r>
            <w:proofErr w:type="gramEnd"/>
          </w:p>
        </w:tc>
        <w:tc>
          <w:tcPr>
            <w:tcW w:w="2385" w:type="dxa"/>
          </w:tcPr>
          <w:p w:rsidR="0009027B" w:rsidRPr="0009027B" w:rsidRDefault="0009027B" w:rsidP="001B5C8D">
            <w:pPr>
              <w:spacing w:before="60" w:after="75" w:line="270" w:lineRule="atLeast"/>
              <w:rPr>
                <w:rFonts w:cstheme="minorHAnsi"/>
                <w:color w:val="333333"/>
                <w:sz w:val="18"/>
                <w:szCs w:val="18"/>
                <w:lang w:val="en-US"/>
              </w:rPr>
            </w:pPr>
            <w:r w:rsidRPr="0009027B">
              <w:rPr>
                <w:rFonts w:cstheme="minorHAnsi"/>
                <w:color w:val="333333"/>
                <w:sz w:val="18"/>
                <w:szCs w:val="18"/>
                <w:lang w:val="en-US"/>
              </w:rPr>
              <w:t>United Nations Population Division, Trends in Total Migrant Stock: 2008 Revision.</w:t>
            </w:r>
          </w:p>
        </w:tc>
      </w:tr>
      <w:tr w:rsidR="0009027B" w:rsidRPr="0009027B" w:rsidTr="00F05F81">
        <w:tc>
          <w:tcPr>
            <w:tcW w:w="2047" w:type="dxa"/>
          </w:tcPr>
          <w:p w:rsidR="0009027B" w:rsidRPr="0009027B" w:rsidRDefault="0009027B" w:rsidP="001B5C8D">
            <w:pPr>
              <w:spacing w:before="60" w:after="75" w:line="270" w:lineRule="atLeast"/>
              <w:rPr>
                <w:rFonts w:cstheme="minorHAnsi"/>
                <w:color w:val="333333"/>
                <w:sz w:val="18"/>
                <w:szCs w:val="18"/>
                <w:lang w:val="es-CO"/>
              </w:rPr>
            </w:pPr>
            <w:r w:rsidRPr="0009027B">
              <w:rPr>
                <w:rFonts w:cstheme="minorHAnsi"/>
                <w:color w:val="333333"/>
                <w:sz w:val="18"/>
                <w:szCs w:val="18"/>
              </w:rPr>
              <w:t xml:space="preserve">Net </w:t>
            </w:r>
            <w:proofErr w:type="spellStart"/>
            <w:r w:rsidRPr="0009027B">
              <w:rPr>
                <w:rFonts w:cstheme="minorHAnsi"/>
                <w:color w:val="333333"/>
                <w:sz w:val="18"/>
                <w:szCs w:val="18"/>
              </w:rPr>
              <w:t>migration</w:t>
            </w:r>
            <w:proofErr w:type="spellEnd"/>
          </w:p>
        </w:tc>
        <w:tc>
          <w:tcPr>
            <w:tcW w:w="2626" w:type="dxa"/>
          </w:tcPr>
          <w:p w:rsidR="0009027B" w:rsidRPr="0009027B" w:rsidRDefault="0009027B" w:rsidP="00F05F81">
            <w:pPr>
              <w:jc w:val="both"/>
              <w:rPr>
                <w:rFonts w:cstheme="minorHAnsi"/>
                <w:sz w:val="18"/>
                <w:szCs w:val="18"/>
                <w:lang w:val="es-CO"/>
              </w:rPr>
            </w:pPr>
            <w:r w:rsidRPr="0009027B">
              <w:rPr>
                <w:rFonts w:cstheme="minorHAnsi"/>
                <w:sz w:val="18"/>
                <w:szCs w:val="18"/>
                <w:lang w:val="es-CO"/>
              </w:rPr>
              <w:t>La migración neta es el número de inmigrantes menos el número de emigrantes, incluidos ciudadanos y no ciudadanos, para el período de cinco años.</w:t>
            </w:r>
          </w:p>
        </w:tc>
        <w:tc>
          <w:tcPr>
            <w:tcW w:w="1770" w:type="dxa"/>
          </w:tcPr>
          <w:p w:rsidR="0009027B" w:rsidRPr="0009027B" w:rsidRDefault="0009027B" w:rsidP="008A4689">
            <w:pPr>
              <w:spacing w:before="60" w:after="75" w:line="270" w:lineRule="atLeast"/>
              <w:rPr>
                <w:rFonts w:cstheme="minorHAnsi"/>
                <w:color w:val="333333"/>
                <w:sz w:val="18"/>
                <w:szCs w:val="18"/>
                <w:lang w:val="es-CO"/>
              </w:rPr>
            </w:pPr>
            <w:r w:rsidRPr="0009027B">
              <w:rPr>
                <w:rFonts w:cstheme="minorHAnsi"/>
                <w:sz w:val="18"/>
                <w:szCs w:val="18"/>
                <w:lang w:val="en-US"/>
              </w:rPr>
              <w:t>SM.POP.NETM</w:t>
            </w:r>
          </w:p>
        </w:tc>
        <w:tc>
          <w:tcPr>
            <w:tcW w:w="2385" w:type="dxa"/>
          </w:tcPr>
          <w:p w:rsidR="0009027B" w:rsidRPr="0009027B" w:rsidRDefault="0009027B" w:rsidP="001B5C8D">
            <w:pPr>
              <w:spacing w:before="60" w:after="75" w:line="270" w:lineRule="atLeast"/>
              <w:rPr>
                <w:rFonts w:cstheme="minorHAnsi"/>
                <w:color w:val="333333"/>
                <w:sz w:val="18"/>
                <w:szCs w:val="18"/>
                <w:lang w:val="en-US"/>
              </w:rPr>
            </w:pPr>
            <w:r w:rsidRPr="0009027B">
              <w:rPr>
                <w:rFonts w:cstheme="minorHAnsi"/>
                <w:color w:val="333333"/>
                <w:sz w:val="18"/>
                <w:szCs w:val="18"/>
                <w:shd w:val="clear" w:color="auto" w:fill="FFFFFF"/>
                <w:lang w:val="en-US"/>
              </w:rPr>
              <w:t>United Nations Population Division, World Population Prospects 2008.</w:t>
            </w:r>
          </w:p>
        </w:tc>
      </w:tr>
      <w:tr w:rsidR="0009027B" w:rsidRPr="0009027B" w:rsidTr="00F05F81">
        <w:tc>
          <w:tcPr>
            <w:tcW w:w="2047" w:type="dxa"/>
          </w:tcPr>
          <w:p w:rsidR="0009027B" w:rsidRPr="0009027B" w:rsidRDefault="0009027B" w:rsidP="00F05F81">
            <w:pPr>
              <w:spacing w:before="60" w:after="75" w:line="270" w:lineRule="atLeast"/>
              <w:rPr>
                <w:rFonts w:cstheme="minorHAnsi"/>
                <w:color w:val="333333"/>
                <w:sz w:val="18"/>
                <w:szCs w:val="18"/>
                <w:lang w:val="en-US"/>
              </w:rPr>
            </w:pPr>
            <w:r w:rsidRPr="0009027B">
              <w:rPr>
                <w:rFonts w:cstheme="minorHAnsi"/>
                <w:color w:val="333333"/>
                <w:sz w:val="18"/>
                <w:szCs w:val="18"/>
                <w:lang w:val="en-US"/>
              </w:rPr>
              <w:t>Personal remittances, received (% of GDP)</w:t>
            </w:r>
          </w:p>
          <w:p w:rsidR="0009027B" w:rsidRPr="0009027B" w:rsidRDefault="0009027B" w:rsidP="008A4689">
            <w:pPr>
              <w:rPr>
                <w:rFonts w:cstheme="minorHAnsi"/>
                <w:sz w:val="18"/>
                <w:szCs w:val="18"/>
                <w:lang w:val="en-US"/>
              </w:rPr>
            </w:pPr>
          </w:p>
        </w:tc>
        <w:tc>
          <w:tcPr>
            <w:tcW w:w="2626" w:type="dxa"/>
          </w:tcPr>
          <w:p w:rsidR="0009027B" w:rsidRPr="0009027B" w:rsidRDefault="0009027B" w:rsidP="00F05F81">
            <w:pPr>
              <w:jc w:val="both"/>
              <w:rPr>
                <w:rFonts w:cstheme="minorHAnsi"/>
                <w:sz w:val="18"/>
                <w:szCs w:val="18"/>
                <w:lang w:val="es-CO"/>
              </w:rPr>
            </w:pPr>
            <w:r w:rsidRPr="0009027B">
              <w:rPr>
                <w:rFonts w:cstheme="minorHAnsi"/>
                <w:sz w:val="18"/>
                <w:szCs w:val="18"/>
                <w:lang w:val="es-CO"/>
              </w:rPr>
              <w:t>Las remesas personales comprenden las transferencias personales y la remuneración de los empleados. Las transferencias personales consisten en todas las transferencias corrientes en efectivo o en especie realizadas o recibidas por hogares residentes hacia o desde hogares no residentes. Las transferencias personales incluyen, por lo tanto, todas las transferencias corrientes entre personas físicas residentes y no residentes. La remuneración de los empleados se refiere a los ingresos de los trabajadores fronterizos, de temporada y otros trabajadores a corto plazo que están empleados en una economía en la que no son residentes y de los residentes empleados por entidades no residentes. Los datos son la suma de dos elementos definidos en la sexta edición del Manual de Balanza de Pagos del FMI: transferencias personales y remuneración de los empleados.</w:t>
            </w:r>
          </w:p>
        </w:tc>
        <w:tc>
          <w:tcPr>
            <w:tcW w:w="1770" w:type="dxa"/>
          </w:tcPr>
          <w:p w:rsidR="0009027B" w:rsidRPr="0009027B" w:rsidRDefault="0009027B" w:rsidP="00F05F81">
            <w:pPr>
              <w:spacing w:before="60" w:after="75" w:line="270" w:lineRule="atLeast"/>
              <w:rPr>
                <w:rFonts w:cstheme="minorHAnsi"/>
                <w:color w:val="333333"/>
                <w:sz w:val="18"/>
                <w:szCs w:val="18"/>
                <w:lang w:val="es-CO"/>
              </w:rPr>
            </w:pPr>
            <w:r w:rsidRPr="0009027B">
              <w:rPr>
                <w:rFonts w:cstheme="minorHAnsi"/>
                <w:color w:val="333333"/>
                <w:sz w:val="18"/>
                <w:szCs w:val="18"/>
              </w:rPr>
              <w:t>BX.TRF.PWKR.DT.GD.ZS</w:t>
            </w:r>
          </w:p>
          <w:p w:rsidR="0009027B" w:rsidRPr="0009027B" w:rsidRDefault="0009027B" w:rsidP="008A4689">
            <w:pPr>
              <w:spacing w:before="60" w:after="75" w:line="270" w:lineRule="atLeast"/>
              <w:rPr>
                <w:rFonts w:cstheme="minorHAnsi"/>
                <w:color w:val="333333"/>
                <w:sz w:val="18"/>
                <w:szCs w:val="18"/>
                <w:lang w:val="es-CO"/>
              </w:rPr>
            </w:pPr>
          </w:p>
        </w:tc>
        <w:tc>
          <w:tcPr>
            <w:tcW w:w="2385" w:type="dxa"/>
          </w:tcPr>
          <w:p w:rsidR="0009027B" w:rsidRPr="0009027B" w:rsidRDefault="0009027B" w:rsidP="00F05F81">
            <w:pPr>
              <w:spacing w:before="60" w:after="75" w:line="270" w:lineRule="atLeast"/>
              <w:rPr>
                <w:rFonts w:cstheme="minorHAnsi"/>
                <w:color w:val="333333"/>
                <w:sz w:val="18"/>
                <w:szCs w:val="18"/>
              </w:rPr>
            </w:pPr>
            <w:r w:rsidRPr="0009027B">
              <w:rPr>
                <w:rFonts w:cstheme="minorHAnsi"/>
                <w:sz w:val="18"/>
                <w:szCs w:val="18"/>
                <w:lang w:val="es-CO"/>
              </w:rPr>
              <w:t>Fuente Estimaciones del personal del Banco Mundial basadas en datos de la balanza de pagos del FMI y estimaciones del PIB del Banco Mundial y la OCDE.</w:t>
            </w:r>
          </w:p>
        </w:tc>
      </w:tr>
      <w:tr w:rsidR="0009027B" w:rsidRPr="0009027B" w:rsidTr="00F05F81">
        <w:tc>
          <w:tcPr>
            <w:tcW w:w="2047" w:type="dxa"/>
          </w:tcPr>
          <w:p w:rsidR="0009027B" w:rsidRPr="0009027B" w:rsidRDefault="0009027B" w:rsidP="008A4689">
            <w:pPr>
              <w:rPr>
                <w:rFonts w:cstheme="minorHAnsi"/>
                <w:sz w:val="18"/>
                <w:szCs w:val="18"/>
                <w:lang w:val="es-CO"/>
              </w:rPr>
            </w:pPr>
            <w:proofErr w:type="spellStart"/>
            <w:r w:rsidRPr="0009027B">
              <w:rPr>
                <w:rFonts w:cstheme="minorHAnsi"/>
                <w:color w:val="333333"/>
                <w:sz w:val="18"/>
                <w:szCs w:val="18"/>
                <w:shd w:val="clear" w:color="auto" w:fill="FFFFFF"/>
              </w:rPr>
              <w:t>Population</w:t>
            </w:r>
            <w:proofErr w:type="spellEnd"/>
            <w:r w:rsidRPr="0009027B">
              <w:rPr>
                <w:rFonts w:cstheme="minorHAnsi"/>
                <w:color w:val="333333"/>
                <w:sz w:val="18"/>
                <w:szCs w:val="18"/>
                <w:shd w:val="clear" w:color="auto" w:fill="FFFFFF"/>
              </w:rPr>
              <w:t>, total</w:t>
            </w:r>
          </w:p>
        </w:tc>
        <w:tc>
          <w:tcPr>
            <w:tcW w:w="2626" w:type="dxa"/>
          </w:tcPr>
          <w:p w:rsidR="0009027B" w:rsidRPr="0009027B" w:rsidRDefault="0009027B" w:rsidP="00F05F81">
            <w:pPr>
              <w:jc w:val="both"/>
              <w:rPr>
                <w:rFonts w:cstheme="minorHAnsi"/>
                <w:sz w:val="18"/>
                <w:szCs w:val="18"/>
                <w:lang w:val="es-CO"/>
              </w:rPr>
            </w:pPr>
            <w:r w:rsidRPr="0009027B">
              <w:rPr>
                <w:rFonts w:cstheme="minorHAnsi"/>
                <w:sz w:val="18"/>
                <w:szCs w:val="18"/>
                <w:lang w:val="es-CO"/>
              </w:rPr>
              <w:t>La población total se basa en la definición de población de facto, que cuenta a todos los residentes independientemente de su estatus legal o ciudadanía. Los valores que se muestran son estimaciones de mitad de año.</w:t>
            </w:r>
          </w:p>
        </w:tc>
        <w:tc>
          <w:tcPr>
            <w:tcW w:w="1770" w:type="dxa"/>
          </w:tcPr>
          <w:p w:rsidR="0009027B" w:rsidRPr="0009027B" w:rsidRDefault="0009027B" w:rsidP="008A4689">
            <w:pPr>
              <w:spacing w:before="60" w:after="75" w:line="270" w:lineRule="atLeast"/>
              <w:rPr>
                <w:rFonts w:cstheme="minorHAnsi"/>
                <w:color w:val="333333"/>
                <w:sz w:val="18"/>
                <w:szCs w:val="18"/>
              </w:rPr>
            </w:pPr>
            <w:r w:rsidRPr="0009027B">
              <w:rPr>
                <w:rFonts w:cstheme="minorHAnsi"/>
                <w:sz w:val="18"/>
                <w:szCs w:val="18"/>
                <w:lang w:val="en-US"/>
              </w:rPr>
              <w:t>SP.POP.TOTL</w:t>
            </w:r>
          </w:p>
        </w:tc>
        <w:tc>
          <w:tcPr>
            <w:tcW w:w="2385" w:type="dxa"/>
          </w:tcPr>
          <w:p w:rsidR="0009027B" w:rsidRPr="0009027B" w:rsidRDefault="0009027B" w:rsidP="008A4689">
            <w:pPr>
              <w:spacing w:before="60" w:after="75" w:line="270" w:lineRule="atLeast"/>
              <w:rPr>
                <w:rFonts w:cstheme="minorHAnsi"/>
                <w:color w:val="333333"/>
                <w:sz w:val="18"/>
                <w:szCs w:val="18"/>
                <w:lang w:val="en-US"/>
              </w:rPr>
            </w:pPr>
            <w:r w:rsidRPr="0009027B">
              <w:rPr>
                <w:rFonts w:cstheme="minorHAnsi"/>
                <w:color w:val="333333"/>
                <w:sz w:val="18"/>
                <w:szCs w:val="18"/>
                <w:lang w:val="en-US"/>
              </w:rPr>
              <w:t xml:space="preserve">(1) United Nations Population Division. World Population Prospects: 2022 Revision. (2) Census reports and other statistical publications from national statistical offices, (3) Eurostat: Demographic </w:t>
            </w:r>
            <w:r w:rsidRPr="0009027B">
              <w:rPr>
                <w:rFonts w:cstheme="minorHAnsi"/>
                <w:color w:val="333333"/>
                <w:sz w:val="18"/>
                <w:szCs w:val="18"/>
                <w:lang w:val="en-US"/>
              </w:rPr>
              <w:lastRenderedPageBreak/>
              <w:t>Statistics, (4) United Nations Statistical Division. Population and Vital Statistics Repo</w:t>
            </w:r>
            <w:r w:rsidRPr="0009027B">
              <w:rPr>
                <w:rFonts w:cstheme="minorHAnsi"/>
                <w:color w:val="333333"/>
                <w:sz w:val="18"/>
                <w:szCs w:val="18"/>
                <w:lang w:val="en-US"/>
              </w:rPr>
              <w:t>r</w:t>
            </w:r>
            <w:r w:rsidRPr="0009027B">
              <w:rPr>
                <w:rFonts w:cstheme="minorHAnsi"/>
                <w:color w:val="333333"/>
                <w:sz w:val="18"/>
                <w:szCs w:val="18"/>
                <w:lang w:val="en-US"/>
              </w:rPr>
              <w:t xml:space="preserve">t (various years), (5) U.S. Census Bureau: International Database, and (6) Secretariat of the Pacific Community: Statistics and Demography </w:t>
            </w:r>
            <w:proofErr w:type="spellStart"/>
            <w:r w:rsidRPr="0009027B">
              <w:rPr>
                <w:rFonts w:cstheme="minorHAnsi"/>
                <w:color w:val="333333"/>
                <w:sz w:val="18"/>
                <w:szCs w:val="18"/>
                <w:lang w:val="en-US"/>
              </w:rPr>
              <w:t>Programme</w:t>
            </w:r>
            <w:proofErr w:type="spellEnd"/>
            <w:r w:rsidRPr="0009027B">
              <w:rPr>
                <w:rFonts w:cstheme="minorHAnsi"/>
                <w:color w:val="333333"/>
                <w:sz w:val="18"/>
                <w:szCs w:val="18"/>
                <w:lang w:val="en-US"/>
              </w:rPr>
              <w:t>.</w:t>
            </w:r>
          </w:p>
        </w:tc>
      </w:tr>
      <w:tr w:rsidR="0009027B" w:rsidRPr="0009027B" w:rsidTr="00F05F81">
        <w:tc>
          <w:tcPr>
            <w:tcW w:w="2047" w:type="dxa"/>
          </w:tcPr>
          <w:p w:rsidR="0009027B" w:rsidRPr="0009027B" w:rsidRDefault="0009027B" w:rsidP="001B5C8D">
            <w:pPr>
              <w:spacing w:before="60" w:after="75" w:line="270" w:lineRule="atLeast"/>
              <w:rPr>
                <w:rFonts w:cstheme="minorHAnsi"/>
                <w:color w:val="333333"/>
                <w:sz w:val="18"/>
                <w:szCs w:val="18"/>
                <w:lang w:val="en-US"/>
              </w:rPr>
            </w:pPr>
            <w:r w:rsidRPr="0009027B">
              <w:rPr>
                <w:rFonts w:cstheme="minorHAnsi"/>
                <w:color w:val="333333"/>
                <w:sz w:val="18"/>
                <w:szCs w:val="18"/>
                <w:lang w:val="en-US"/>
              </w:rPr>
              <w:lastRenderedPageBreak/>
              <w:t>Poverty headcount ratio at national poverty lines (% of population)</w:t>
            </w:r>
          </w:p>
        </w:tc>
        <w:tc>
          <w:tcPr>
            <w:tcW w:w="2626" w:type="dxa"/>
          </w:tcPr>
          <w:p w:rsidR="0009027B" w:rsidRPr="0009027B" w:rsidRDefault="0009027B" w:rsidP="00F05F81">
            <w:pPr>
              <w:jc w:val="both"/>
              <w:rPr>
                <w:rFonts w:cstheme="minorHAnsi"/>
                <w:sz w:val="18"/>
                <w:szCs w:val="18"/>
                <w:lang w:val="es-CO"/>
              </w:rPr>
            </w:pPr>
            <w:r w:rsidRPr="0009027B">
              <w:rPr>
                <w:rFonts w:cstheme="minorHAnsi"/>
                <w:sz w:val="18"/>
                <w:szCs w:val="18"/>
                <w:lang w:val="es-CO"/>
              </w:rPr>
              <w:t>La tasa nacional de recuento de la pobreza es el porcentaje de la población que vive por debajo de la(s) línea(s) nacional(es) de pobreza. Las estimaciones nacionales se basan en estimaciones de subgrupos ponderados por población a partir de encuestas de hogares. Para las economías cuyos datos provienen de EU-SILC, el año informado es el año de referencia de ingresos, que es el año anterior al año de la encuesta.</w:t>
            </w:r>
          </w:p>
        </w:tc>
        <w:tc>
          <w:tcPr>
            <w:tcW w:w="1770" w:type="dxa"/>
          </w:tcPr>
          <w:p w:rsidR="0009027B" w:rsidRPr="0009027B" w:rsidRDefault="0009027B" w:rsidP="008A4689">
            <w:pPr>
              <w:spacing w:before="60" w:after="75" w:line="270" w:lineRule="atLeast"/>
              <w:rPr>
                <w:rFonts w:cstheme="minorHAnsi"/>
                <w:color w:val="333333"/>
                <w:sz w:val="18"/>
                <w:szCs w:val="18"/>
                <w:shd w:val="clear" w:color="auto" w:fill="FFFFFF"/>
                <w:lang w:val="es-CO"/>
              </w:rPr>
            </w:pPr>
            <w:r w:rsidRPr="0009027B">
              <w:rPr>
                <w:rFonts w:cstheme="minorHAnsi"/>
                <w:color w:val="333333"/>
                <w:sz w:val="18"/>
                <w:szCs w:val="18"/>
                <w:shd w:val="clear" w:color="auto" w:fill="FFFFFF"/>
              </w:rPr>
              <w:t>SI.POV.NAHC</w:t>
            </w:r>
          </w:p>
        </w:tc>
        <w:tc>
          <w:tcPr>
            <w:tcW w:w="2385" w:type="dxa"/>
          </w:tcPr>
          <w:p w:rsidR="0009027B" w:rsidRPr="0009027B" w:rsidRDefault="0009027B" w:rsidP="001B5C8D">
            <w:pPr>
              <w:spacing w:before="60" w:after="75" w:line="270" w:lineRule="atLeast"/>
              <w:rPr>
                <w:rFonts w:cstheme="minorHAnsi"/>
                <w:color w:val="333333"/>
                <w:sz w:val="18"/>
                <w:szCs w:val="18"/>
                <w:lang w:val="en-US"/>
              </w:rPr>
            </w:pPr>
            <w:r w:rsidRPr="0009027B">
              <w:rPr>
                <w:rFonts w:cstheme="minorHAnsi"/>
                <w:color w:val="333333"/>
                <w:sz w:val="18"/>
                <w:szCs w:val="18"/>
                <w:lang w:val="en-US"/>
              </w:rPr>
              <w:t>World Bank, Poverty and Inequality Platform. Data are compiled from official government sources or are computed by World Bank staff using national (</w:t>
            </w:r>
            <w:proofErr w:type="gramStart"/>
            <w:r w:rsidRPr="0009027B">
              <w:rPr>
                <w:rFonts w:cstheme="minorHAnsi"/>
                <w:color w:val="333333"/>
                <w:sz w:val="18"/>
                <w:szCs w:val="18"/>
                <w:lang w:val="en-US"/>
              </w:rPr>
              <w:t>i.e.</w:t>
            </w:r>
            <w:proofErr w:type="gramEnd"/>
            <w:r w:rsidRPr="0009027B">
              <w:rPr>
                <w:rFonts w:cstheme="minorHAnsi"/>
                <w:color w:val="333333"/>
                <w:sz w:val="18"/>
                <w:szCs w:val="18"/>
                <w:lang w:val="en-US"/>
              </w:rPr>
              <w:t xml:space="preserve"> country–specific) poverty lines.</w:t>
            </w:r>
          </w:p>
        </w:tc>
      </w:tr>
      <w:tr w:rsidR="0009027B" w:rsidRPr="0009027B" w:rsidTr="00F05F81">
        <w:tc>
          <w:tcPr>
            <w:tcW w:w="2047" w:type="dxa"/>
          </w:tcPr>
          <w:p w:rsidR="0009027B" w:rsidRPr="0009027B" w:rsidRDefault="0009027B" w:rsidP="001B5C8D">
            <w:pPr>
              <w:spacing w:before="60" w:after="75" w:line="270" w:lineRule="atLeast"/>
              <w:rPr>
                <w:rFonts w:cstheme="minorHAnsi"/>
                <w:color w:val="333333"/>
                <w:sz w:val="18"/>
                <w:szCs w:val="18"/>
                <w:lang w:val="en-US"/>
              </w:rPr>
            </w:pPr>
            <w:r w:rsidRPr="0009027B">
              <w:rPr>
                <w:rFonts w:cstheme="minorHAnsi"/>
                <w:color w:val="333333"/>
                <w:sz w:val="18"/>
                <w:szCs w:val="18"/>
                <w:shd w:val="clear" w:color="auto" w:fill="FFFFFF"/>
                <w:lang w:val="en-US"/>
              </w:rPr>
              <w:t>Unemployment, female (% of female labor force) (modeled ILO estimate)</w:t>
            </w:r>
          </w:p>
        </w:tc>
        <w:tc>
          <w:tcPr>
            <w:tcW w:w="2626" w:type="dxa"/>
          </w:tcPr>
          <w:p w:rsidR="0009027B" w:rsidRPr="0009027B" w:rsidRDefault="0009027B" w:rsidP="00F05F81">
            <w:pPr>
              <w:jc w:val="both"/>
              <w:rPr>
                <w:rFonts w:cstheme="minorHAnsi"/>
                <w:sz w:val="18"/>
                <w:szCs w:val="18"/>
                <w:lang w:val="es-CO"/>
              </w:rPr>
            </w:pPr>
            <w:r w:rsidRPr="0009027B">
              <w:rPr>
                <w:rFonts w:cstheme="minorHAnsi"/>
                <w:sz w:val="18"/>
                <w:szCs w:val="18"/>
                <w:lang w:val="es-CO"/>
              </w:rPr>
              <w:t>El desempleo se refiere a la proporción de la fuerza laboral que no tiene trabajo pero que está disponible y buscando empleo.</w:t>
            </w:r>
          </w:p>
        </w:tc>
        <w:tc>
          <w:tcPr>
            <w:tcW w:w="1770" w:type="dxa"/>
          </w:tcPr>
          <w:p w:rsidR="0009027B" w:rsidRPr="0009027B" w:rsidRDefault="0009027B" w:rsidP="008A4689">
            <w:pPr>
              <w:spacing w:before="60" w:after="75" w:line="270" w:lineRule="atLeast"/>
              <w:rPr>
                <w:rFonts w:cstheme="minorHAnsi"/>
                <w:color w:val="333333"/>
                <w:sz w:val="18"/>
                <w:szCs w:val="18"/>
                <w:lang w:val="es-CO"/>
              </w:rPr>
            </w:pPr>
            <w:r w:rsidRPr="0009027B">
              <w:rPr>
                <w:rFonts w:cstheme="minorHAnsi"/>
                <w:sz w:val="18"/>
                <w:szCs w:val="18"/>
                <w:lang w:val="es-CO"/>
              </w:rPr>
              <w:t>SL.UEM.TOTL.</w:t>
            </w:r>
            <w:proofErr w:type="gramStart"/>
            <w:r w:rsidRPr="0009027B">
              <w:rPr>
                <w:rFonts w:cstheme="minorHAnsi"/>
                <w:sz w:val="18"/>
                <w:szCs w:val="18"/>
                <w:lang w:val="es-CO"/>
              </w:rPr>
              <w:t>FE.ZS</w:t>
            </w:r>
            <w:proofErr w:type="gramEnd"/>
          </w:p>
        </w:tc>
        <w:tc>
          <w:tcPr>
            <w:tcW w:w="2385" w:type="dxa"/>
          </w:tcPr>
          <w:p w:rsidR="0009027B" w:rsidRPr="0009027B" w:rsidRDefault="0009027B" w:rsidP="001B5C8D">
            <w:pPr>
              <w:spacing w:before="60" w:after="75" w:line="270" w:lineRule="atLeast"/>
              <w:rPr>
                <w:rFonts w:cstheme="minorHAnsi"/>
                <w:color w:val="333333"/>
                <w:sz w:val="18"/>
                <w:szCs w:val="18"/>
                <w:lang w:val="en-US"/>
              </w:rPr>
            </w:pPr>
            <w:r w:rsidRPr="0009027B">
              <w:rPr>
                <w:rFonts w:cstheme="minorHAnsi"/>
                <w:color w:val="333333"/>
                <w:sz w:val="18"/>
                <w:szCs w:val="18"/>
                <w:lang w:val="en-US"/>
              </w:rPr>
              <w:t xml:space="preserve">International </w:t>
            </w:r>
            <w:proofErr w:type="spellStart"/>
            <w:r w:rsidRPr="0009027B">
              <w:rPr>
                <w:rFonts w:cstheme="minorHAnsi"/>
                <w:color w:val="333333"/>
                <w:sz w:val="18"/>
                <w:szCs w:val="18"/>
                <w:lang w:val="en-US"/>
              </w:rPr>
              <w:t>Labour</w:t>
            </w:r>
            <w:proofErr w:type="spellEnd"/>
            <w:r w:rsidRPr="0009027B">
              <w:rPr>
                <w:rFonts w:cstheme="minorHAnsi"/>
                <w:color w:val="333333"/>
                <w:sz w:val="18"/>
                <w:szCs w:val="18"/>
                <w:lang w:val="en-US"/>
              </w:rPr>
              <w:t xml:space="preserve"> Organization, ILOSTAT database. Data retrieved in September 2018.</w:t>
            </w:r>
          </w:p>
        </w:tc>
      </w:tr>
      <w:tr w:rsidR="0009027B" w:rsidRPr="0009027B" w:rsidTr="00F05F81">
        <w:tc>
          <w:tcPr>
            <w:tcW w:w="2047" w:type="dxa"/>
          </w:tcPr>
          <w:p w:rsidR="0009027B" w:rsidRPr="0009027B" w:rsidRDefault="0009027B" w:rsidP="001B5C8D">
            <w:pPr>
              <w:spacing w:before="60" w:after="75" w:line="270" w:lineRule="atLeast"/>
              <w:rPr>
                <w:rFonts w:cstheme="minorHAnsi"/>
                <w:color w:val="333333"/>
                <w:sz w:val="18"/>
                <w:szCs w:val="18"/>
                <w:lang w:val="en-US"/>
              </w:rPr>
            </w:pPr>
            <w:r w:rsidRPr="0009027B">
              <w:rPr>
                <w:rFonts w:cstheme="minorHAnsi"/>
                <w:color w:val="333333"/>
                <w:sz w:val="18"/>
                <w:szCs w:val="18"/>
                <w:lang w:val="en-US"/>
              </w:rPr>
              <w:t>Unemployment, male (% of male labor force) (national estimate)</w:t>
            </w:r>
          </w:p>
        </w:tc>
        <w:tc>
          <w:tcPr>
            <w:tcW w:w="2626" w:type="dxa"/>
          </w:tcPr>
          <w:p w:rsidR="0009027B" w:rsidRPr="0009027B" w:rsidRDefault="0009027B" w:rsidP="00F05F81">
            <w:pPr>
              <w:jc w:val="both"/>
              <w:rPr>
                <w:rFonts w:cstheme="minorHAnsi"/>
                <w:sz w:val="18"/>
                <w:szCs w:val="18"/>
                <w:lang w:val="es-CO"/>
              </w:rPr>
            </w:pPr>
            <w:r w:rsidRPr="0009027B">
              <w:rPr>
                <w:rFonts w:cstheme="minorHAnsi"/>
                <w:sz w:val="18"/>
                <w:szCs w:val="18"/>
                <w:lang w:val="es-CO"/>
              </w:rPr>
              <w:t>El desempleo se refiere a la proporción de la fuerza laboral que no tiene trabajo pero que está disponible y buscando empleo. Las definiciones de fuerza laboral y desempleo difieren según el país.</w:t>
            </w:r>
          </w:p>
        </w:tc>
        <w:tc>
          <w:tcPr>
            <w:tcW w:w="1770" w:type="dxa"/>
          </w:tcPr>
          <w:p w:rsidR="0009027B" w:rsidRPr="0009027B" w:rsidRDefault="0009027B" w:rsidP="008A4689">
            <w:pPr>
              <w:spacing w:before="60" w:after="75" w:line="270" w:lineRule="atLeast"/>
              <w:rPr>
                <w:rFonts w:cstheme="minorHAnsi"/>
                <w:color w:val="333333"/>
                <w:sz w:val="18"/>
                <w:szCs w:val="18"/>
                <w:lang w:val="en-US"/>
              </w:rPr>
            </w:pPr>
            <w:r w:rsidRPr="0009027B">
              <w:rPr>
                <w:rFonts w:cstheme="minorHAnsi"/>
                <w:color w:val="333333"/>
                <w:sz w:val="18"/>
                <w:szCs w:val="18"/>
                <w:lang w:val="en-US"/>
              </w:rPr>
              <w:t>SL.UEM.TOTL.MA.NE.ZS</w:t>
            </w:r>
          </w:p>
        </w:tc>
        <w:tc>
          <w:tcPr>
            <w:tcW w:w="2385" w:type="dxa"/>
          </w:tcPr>
          <w:p w:rsidR="0009027B" w:rsidRPr="0009027B" w:rsidRDefault="0009027B" w:rsidP="001B5C8D">
            <w:pPr>
              <w:spacing w:before="60" w:after="75" w:line="270" w:lineRule="atLeast"/>
              <w:rPr>
                <w:rFonts w:cstheme="minorHAnsi"/>
                <w:color w:val="333333"/>
                <w:sz w:val="18"/>
                <w:szCs w:val="18"/>
                <w:lang w:val="en-US"/>
              </w:rPr>
            </w:pPr>
            <w:r w:rsidRPr="0009027B">
              <w:rPr>
                <w:rFonts w:cstheme="minorHAnsi"/>
                <w:color w:val="333333"/>
                <w:sz w:val="18"/>
                <w:szCs w:val="18"/>
                <w:lang w:val="en-US"/>
              </w:rPr>
              <w:t xml:space="preserve">International </w:t>
            </w:r>
            <w:proofErr w:type="spellStart"/>
            <w:r w:rsidRPr="0009027B">
              <w:rPr>
                <w:rFonts w:cstheme="minorHAnsi"/>
                <w:color w:val="333333"/>
                <w:sz w:val="18"/>
                <w:szCs w:val="18"/>
                <w:lang w:val="en-US"/>
              </w:rPr>
              <w:t>Labour</w:t>
            </w:r>
            <w:proofErr w:type="spellEnd"/>
            <w:r w:rsidRPr="0009027B">
              <w:rPr>
                <w:rFonts w:cstheme="minorHAnsi"/>
                <w:color w:val="333333"/>
                <w:sz w:val="18"/>
                <w:szCs w:val="18"/>
                <w:lang w:val="en-US"/>
              </w:rPr>
              <w:t xml:space="preserve"> Organization. “</w:t>
            </w:r>
            <w:proofErr w:type="spellStart"/>
            <w:r w:rsidRPr="0009027B">
              <w:rPr>
                <w:rFonts w:cstheme="minorHAnsi"/>
                <w:color w:val="333333"/>
                <w:sz w:val="18"/>
                <w:szCs w:val="18"/>
                <w:lang w:val="en-US"/>
              </w:rPr>
              <w:t>Labour</w:t>
            </w:r>
            <w:proofErr w:type="spellEnd"/>
            <w:r w:rsidRPr="0009027B">
              <w:rPr>
                <w:rFonts w:cstheme="minorHAnsi"/>
                <w:color w:val="333333"/>
                <w:sz w:val="18"/>
                <w:szCs w:val="18"/>
                <w:lang w:val="en-US"/>
              </w:rPr>
              <w:t xml:space="preserve"> Force Statistics database (LFS)” ILOSTAT. Accessed April 25, 2023. https://ilostat.ilo.org/data/.</w:t>
            </w:r>
          </w:p>
        </w:tc>
      </w:tr>
      <w:tr w:rsidR="0009027B" w:rsidRPr="0009027B" w:rsidTr="00F05F81">
        <w:tc>
          <w:tcPr>
            <w:tcW w:w="2047" w:type="dxa"/>
          </w:tcPr>
          <w:p w:rsidR="0009027B" w:rsidRPr="0009027B" w:rsidRDefault="0009027B" w:rsidP="001B5C8D">
            <w:pPr>
              <w:spacing w:before="60" w:after="75" w:line="270" w:lineRule="atLeast"/>
              <w:rPr>
                <w:rFonts w:cstheme="minorHAnsi"/>
                <w:color w:val="333333"/>
                <w:sz w:val="18"/>
                <w:szCs w:val="18"/>
                <w:lang w:val="en-US"/>
              </w:rPr>
            </w:pPr>
            <w:r w:rsidRPr="0009027B">
              <w:rPr>
                <w:rFonts w:cstheme="minorHAnsi"/>
                <w:color w:val="333333"/>
                <w:sz w:val="18"/>
                <w:szCs w:val="18"/>
                <w:lang w:val="en-US"/>
              </w:rPr>
              <w:t>Unemployment, total (% of total labor force) (modeled ILO estimate)</w:t>
            </w:r>
          </w:p>
          <w:p w:rsidR="0009027B" w:rsidRPr="0009027B" w:rsidRDefault="0009027B" w:rsidP="008A4689">
            <w:pPr>
              <w:rPr>
                <w:rFonts w:cstheme="minorHAnsi"/>
                <w:sz w:val="18"/>
                <w:szCs w:val="18"/>
                <w:lang w:val="en-US"/>
              </w:rPr>
            </w:pPr>
          </w:p>
        </w:tc>
        <w:tc>
          <w:tcPr>
            <w:tcW w:w="2626" w:type="dxa"/>
          </w:tcPr>
          <w:p w:rsidR="0009027B" w:rsidRPr="0009027B" w:rsidRDefault="0009027B" w:rsidP="00F05F81">
            <w:pPr>
              <w:jc w:val="both"/>
              <w:rPr>
                <w:rFonts w:cstheme="minorHAnsi"/>
                <w:sz w:val="18"/>
                <w:szCs w:val="18"/>
                <w:lang w:val="es-CO"/>
              </w:rPr>
            </w:pPr>
            <w:r w:rsidRPr="0009027B">
              <w:rPr>
                <w:rFonts w:cstheme="minorHAnsi"/>
                <w:sz w:val="18"/>
                <w:szCs w:val="18"/>
                <w:lang w:val="es-CO"/>
              </w:rPr>
              <w:t>El desempleo se refiere a la proporción de la fuerza laboral que no tiene trabajo pero que está disponible y buscando empleo.</w:t>
            </w:r>
          </w:p>
        </w:tc>
        <w:tc>
          <w:tcPr>
            <w:tcW w:w="1770" w:type="dxa"/>
          </w:tcPr>
          <w:p w:rsidR="0009027B" w:rsidRPr="0009027B" w:rsidRDefault="0009027B" w:rsidP="008A4689">
            <w:pPr>
              <w:spacing w:before="60" w:after="75" w:line="270" w:lineRule="atLeast"/>
              <w:rPr>
                <w:rFonts w:cstheme="minorHAnsi"/>
                <w:color w:val="333333"/>
                <w:sz w:val="18"/>
                <w:szCs w:val="18"/>
                <w:lang w:val="es-CO"/>
              </w:rPr>
            </w:pPr>
            <w:proofErr w:type="gramStart"/>
            <w:r w:rsidRPr="0009027B">
              <w:rPr>
                <w:rFonts w:cstheme="minorHAnsi"/>
                <w:color w:val="333333"/>
                <w:sz w:val="18"/>
                <w:szCs w:val="18"/>
                <w:lang w:val="es-CO"/>
              </w:rPr>
              <w:t>SL.UEM.TOTL.ZS</w:t>
            </w:r>
            <w:proofErr w:type="gramEnd"/>
          </w:p>
        </w:tc>
        <w:tc>
          <w:tcPr>
            <w:tcW w:w="2385" w:type="dxa"/>
          </w:tcPr>
          <w:p w:rsidR="0009027B" w:rsidRPr="0009027B" w:rsidRDefault="0009027B" w:rsidP="001B5C8D">
            <w:pPr>
              <w:spacing w:before="60" w:after="75" w:line="270" w:lineRule="atLeast"/>
              <w:rPr>
                <w:rFonts w:cstheme="minorHAnsi"/>
                <w:color w:val="333333"/>
                <w:sz w:val="18"/>
                <w:szCs w:val="18"/>
                <w:lang w:val="es-CO"/>
              </w:rPr>
            </w:pPr>
            <w:r w:rsidRPr="0009027B">
              <w:rPr>
                <w:rFonts w:cstheme="minorHAnsi"/>
                <w:color w:val="333333"/>
                <w:sz w:val="18"/>
                <w:szCs w:val="18"/>
                <w:lang w:val="en-US"/>
              </w:rPr>
              <w:t xml:space="preserve">International </w:t>
            </w:r>
            <w:proofErr w:type="spellStart"/>
            <w:r w:rsidRPr="0009027B">
              <w:rPr>
                <w:rFonts w:cstheme="minorHAnsi"/>
                <w:color w:val="333333"/>
                <w:sz w:val="18"/>
                <w:szCs w:val="18"/>
                <w:lang w:val="en-US"/>
              </w:rPr>
              <w:t>Labour</w:t>
            </w:r>
            <w:proofErr w:type="spellEnd"/>
            <w:r w:rsidRPr="0009027B">
              <w:rPr>
                <w:rFonts w:cstheme="minorHAnsi"/>
                <w:color w:val="333333"/>
                <w:sz w:val="18"/>
                <w:szCs w:val="18"/>
                <w:lang w:val="en-US"/>
              </w:rPr>
              <w:t xml:space="preserve"> Organization. “ILO Modelled Estimates and Projections database (ILOEST)” ILOSTAT. </w:t>
            </w:r>
            <w:proofErr w:type="spellStart"/>
            <w:r w:rsidRPr="0009027B">
              <w:rPr>
                <w:rFonts w:cstheme="minorHAnsi"/>
                <w:color w:val="333333"/>
                <w:sz w:val="18"/>
                <w:szCs w:val="18"/>
              </w:rPr>
              <w:t>Accessed</w:t>
            </w:r>
            <w:proofErr w:type="spellEnd"/>
            <w:r w:rsidRPr="0009027B">
              <w:rPr>
                <w:rFonts w:cstheme="minorHAnsi"/>
                <w:color w:val="333333"/>
                <w:sz w:val="18"/>
                <w:szCs w:val="18"/>
              </w:rPr>
              <w:t xml:space="preserve"> April 25, 2023. https://ilostat.ilo.org/data/.</w:t>
            </w:r>
          </w:p>
          <w:p w:rsidR="0009027B" w:rsidRPr="0009027B" w:rsidRDefault="0009027B" w:rsidP="008A4689">
            <w:pPr>
              <w:spacing w:before="60" w:after="75" w:line="270" w:lineRule="atLeast"/>
              <w:rPr>
                <w:rFonts w:cstheme="minorHAnsi"/>
                <w:color w:val="333333"/>
                <w:sz w:val="18"/>
                <w:szCs w:val="18"/>
                <w:lang w:val="es-CO"/>
              </w:rPr>
            </w:pPr>
          </w:p>
        </w:tc>
      </w:tr>
      <w:tr w:rsidR="0009027B" w:rsidRPr="0009027B" w:rsidTr="00F05F81">
        <w:tc>
          <w:tcPr>
            <w:tcW w:w="2047" w:type="dxa"/>
          </w:tcPr>
          <w:p w:rsidR="0009027B" w:rsidRPr="0009027B" w:rsidRDefault="0009027B" w:rsidP="001B5C8D">
            <w:pPr>
              <w:spacing w:before="60" w:after="75" w:line="270" w:lineRule="atLeast"/>
              <w:rPr>
                <w:rFonts w:cstheme="minorHAnsi"/>
                <w:color w:val="333333"/>
                <w:sz w:val="18"/>
                <w:szCs w:val="18"/>
                <w:lang w:val="en-US"/>
              </w:rPr>
            </w:pPr>
            <w:r w:rsidRPr="0009027B">
              <w:rPr>
                <w:rFonts w:cstheme="minorHAnsi"/>
                <w:color w:val="333333"/>
                <w:sz w:val="18"/>
                <w:szCs w:val="18"/>
                <w:lang w:val="en-US"/>
              </w:rPr>
              <w:t>Wage and salaried workers, female (% of female employment) (modeled ILO estimate)</w:t>
            </w:r>
          </w:p>
        </w:tc>
        <w:tc>
          <w:tcPr>
            <w:tcW w:w="2626" w:type="dxa"/>
          </w:tcPr>
          <w:p w:rsidR="0009027B" w:rsidRPr="0009027B" w:rsidRDefault="0009027B" w:rsidP="00F05F81">
            <w:pPr>
              <w:jc w:val="both"/>
              <w:rPr>
                <w:rFonts w:cstheme="minorHAnsi"/>
                <w:sz w:val="18"/>
                <w:szCs w:val="18"/>
                <w:lang w:val="es-CO"/>
              </w:rPr>
            </w:pPr>
            <w:r w:rsidRPr="0009027B">
              <w:rPr>
                <w:rFonts w:cstheme="minorHAnsi"/>
                <w:sz w:val="18"/>
                <w:szCs w:val="18"/>
                <w:lang w:val="es-CO"/>
              </w:rPr>
              <w:t xml:space="preserve">Los trabajadores asalariados (empleados) son aquellos trabajadores que ocupan el tipo de trabajos definidos como "trabajos de empleo remunerado", donde los titulares tienen contratos de trabajo explícitos (escritos u orales) o implícitos que les otorgan una remuneración básica que no </w:t>
            </w:r>
            <w:r w:rsidRPr="0009027B">
              <w:rPr>
                <w:rFonts w:cstheme="minorHAnsi"/>
                <w:sz w:val="18"/>
                <w:szCs w:val="18"/>
                <w:lang w:val="es-CO"/>
              </w:rPr>
              <w:lastRenderedPageBreak/>
              <w:t>depende directamente de los ingresos de la unidad para la que trabajan.</w:t>
            </w:r>
          </w:p>
        </w:tc>
        <w:tc>
          <w:tcPr>
            <w:tcW w:w="1770" w:type="dxa"/>
          </w:tcPr>
          <w:p w:rsidR="0009027B" w:rsidRPr="0009027B" w:rsidRDefault="0009027B" w:rsidP="008A4689">
            <w:pPr>
              <w:spacing w:before="60" w:after="75" w:line="270" w:lineRule="atLeast"/>
              <w:rPr>
                <w:rFonts w:cstheme="minorHAnsi"/>
                <w:color w:val="333333"/>
                <w:sz w:val="18"/>
                <w:szCs w:val="18"/>
                <w:lang w:val="en-US"/>
              </w:rPr>
            </w:pPr>
            <w:r w:rsidRPr="0009027B">
              <w:rPr>
                <w:rFonts w:cstheme="minorHAnsi"/>
                <w:color w:val="333333"/>
                <w:sz w:val="18"/>
                <w:szCs w:val="18"/>
                <w:lang w:val="en-US"/>
              </w:rPr>
              <w:lastRenderedPageBreak/>
              <w:t>SL.EMP.WORK.</w:t>
            </w:r>
            <w:proofErr w:type="gramStart"/>
            <w:r w:rsidRPr="0009027B">
              <w:rPr>
                <w:rFonts w:cstheme="minorHAnsi"/>
                <w:color w:val="333333"/>
                <w:sz w:val="18"/>
                <w:szCs w:val="18"/>
                <w:lang w:val="en-US"/>
              </w:rPr>
              <w:t>FE.ZS</w:t>
            </w:r>
            <w:proofErr w:type="gramEnd"/>
          </w:p>
        </w:tc>
        <w:tc>
          <w:tcPr>
            <w:tcW w:w="2385" w:type="dxa"/>
          </w:tcPr>
          <w:p w:rsidR="0009027B" w:rsidRPr="0009027B" w:rsidRDefault="0009027B" w:rsidP="001B5C8D">
            <w:pPr>
              <w:spacing w:before="60" w:after="75" w:line="270" w:lineRule="atLeast"/>
              <w:rPr>
                <w:rFonts w:cstheme="minorHAnsi"/>
                <w:color w:val="333333"/>
                <w:sz w:val="18"/>
                <w:szCs w:val="18"/>
                <w:lang w:val="en-US"/>
              </w:rPr>
            </w:pPr>
            <w:r w:rsidRPr="0009027B">
              <w:rPr>
                <w:rFonts w:cstheme="minorHAnsi"/>
                <w:color w:val="333333"/>
                <w:sz w:val="18"/>
                <w:szCs w:val="18"/>
                <w:lang w:val="en-US"/>
              </w:rPr>
              <w:t xml:space="preserve">International </w:t>
            </w:r>
            <w:proofErr w:type="spellStart"/>
            <w:r w:rsidRPr="0009027B">
              <w:rPr>
                <w:rFonts w:cstheme="minorHAnsi"/>
                <w:color w:val="333333"/>
                <w:sz w:val="18"/>
                <w:szCs w:val="18"/>
                <w:lang w:val="en-US"/>
              </w:rPr>
              <w:t>Labour</w:t>
            </w:r>
            <w:proofErr w:type="spellEnd"/>
            <w:r w:rsidRPr="0009027B">
              <w:rPr>
                <w:rFonts w:cstheme="minorHAnsi"/>
                <w:color w:val="333333"/>
                <w:sz w:val="18"/>
                <w:szCs w:val="18"/>
                <w:lang w:val="en-US"/>
              </w:rPr>
              <w:t xml:space="preserve"> Organization, ILOSTAT database. Data retrieved in September 2018.</w:t>
            </w:r>
          </w:p>
        </w:tc>
      </w:tr>
      <w:tr w:rsidR="0009027B" w:rsidRPr="0009027B" w:rsidTr="00F05F81">
        <w:tc>
          <w:tcPr>
            <w:tcW w:w="2047" w:type="dxa"/>
          </w:tcPr>
          <w:p w:rsidR="0009027B" w:rsidRPr="0009027B" w:rsidRDefault="0009027B" w:rsidP="001B5C8D">
            <w:pPr>
              <w:spacing w:before="60" w:after="75" w:line="270" w:lineRule="atLeast"/>
              <w:rPr>
                <w:rFonts w:cstheme="minorHAnsi"/>
                <w:color w:val="333333"/>
                <w:sz w:val="18"/>
                <w:szCs w:val="18"/>
                <w:lang w:val="en-US"/>
              </w:rPr>
            </w:pPr>
            <w:r w:rsidRPr="0009027B">
              <w:rPr>
                <w:rFonts w:cstheme="minorHAnsi"/>
                <w:color w:val="333333"/>
                <w:sz w:val="18"/>
                <w:szCs w:val="18"/>
                <w:lang w:val="en-US"/>
              </w:rPr>
              <w:t>Wage and salaried workers, male (% of male employment) (modeled ILO estimate)</w:t>
            </w:r>
          </w:p>
        </w:tc>
        <w:tc>
          <w:tcPr>
            <w:tcW w:w="2626" w:type="dxa"/>
          </w:tcPr>
          <w:p w:rsidR="0009027B" w:rsidRPr="0009027B" w:rsidRDefault="0009027B" w:rsidP="00F05F81">
            <w:pPr>
              <w:jc w:val="both"/>
              <w:rPr>
                <w:rFonts w:cstheme="minorHAnsi"/>
                <w:sz w:val="18"/>
                <w:szCs w:val="18"/>
                <w:lang w:val="es-CO"/>
              </w:rPr>
            </w:pPr>
            <w:r w:rsidRPr="0009027B">
              <w:rPr>
                <w:rFonts w:cstheme="minorHAnsi"/>
                <w:sz w:val="18"/>
                <w:szCs w:val="18"/>
                <w:lang w:val="es-CO"/>
              </w:rPr>
              <w:t>Los trabajadores asalariados (empleados) son aquellos trabajadores que ocupan el tipo de trabajos definidos como "trabajos de empleo remunerado", donde los titulares tienen contratos de trabajo explícitos (escritos u orales) o implícitos que les otorgan una remuneración básica que no depende directamente de los ingresos de la unidad para la que trabajan.</w:t>
            </w:r>
          </w:p>
        </w:tc>
        <w:tc>
          <w:tcPr>
            <w:tcW w:w="1770" w:type="dxa"/>
          </w:tcPr>
          <w:p w:rsidR="0009027B" w:rsidRPr="0009027B" w:rsidRDefault="0009027B" w:rsidP="008A4689">
            <w:pPr>
              <w:spacing w:before="60" w:after="75" w:line="270" w:lineRule="atLeast"/>
              <w:rPr>
                <w:rFonts w:cstheme="minorHAnsi"/>
                <w:color w:val="333333"/>
                <w:sz w:val="18"/>
                <w:szCs w:val="18"/>
                <w:lang w:val="es-CO"/>
              </w:rPr>
            </w:pPr>
            <w:r w:rsidRPr="0009027B">
              <w:rPr>
                <w:rFonts w:cstheme="minorHAnsi"/>
                <w:color w:val="333333"/>
                <w:sz w:val="18"/>
                <w:szCs w:val="18"/>
                <w:lang w:val="es-CO"/>
              </w:rPr>
              <w:t>SL.EMP.WORK.MA.ZS</w:t>
            </w:r>
          </w:p>
        </w:tc>
        <w:tc>
          <w:tcPr>
            <w:tcW w:w="2385" w:type="dxa"/>
          </w:tcPr>
          <w:p w:rsidR="0009027B" w:rsidRPr="0009027B" w:rsidRDefault="0009027B" w:rsidP="001B5C8D">
            <w:pPr>
              <w:spacing w:before="60" w:after="75" w:line="270" w:lineRule="atLeast"/>
              <w:rPr>
                <w:rFonts w:cstheme="minorHAnsi"/>
                <w:color w:val="333333"/>
                <w:sz w:val="18"/>
                <w:szCs w:val="18"/>
                <w:lang w:val="es-CO"/>
              </w:rPr>
            </w:pPr>
            <w:r w:rsidRPr="0009027B">
              <w:rPr>
                <w:rFonts w:cstheme="minorHAnsi"/>
                <w:color w:val="333333"/>
                <w:sz w:val="18"/>
                <w:szCs w:val="18"/>
                <w:lang w:val="en-US"/>
              </w:rPr>
              <w:t xml:space="preserve">International </w:t>
            </w:r>
            <w:proofErr w:type="spellStart"/>
            <w:r w:rsidRPr="0009027B">
              <w:rPr>
                <w:rFonts w:cstheme="minorHAnsi"/>
                <w:color w:val="333333"/>
                <w:sz w:val="18"/>
                <w:szCs w:val="18"/>
                <w:lang w:val="en-US"/>
              </w:rPr>
              <w:t>Labour</w:t>
            </w:r>
            <w:proofErr w:type="spellEnd"/>
            <w:r w:rsidRPr="0009027B">
              <w:rPr>
                <w:rFonts w:cstheme="minorHAnsi"/>
                <w:color w:val="333333"/>
                <w:sz w:val="18"/>
                <w:szCs w:val="18"/>
                <w:lang w:val="en-US"/>
              </w:rPr>
              <w:t xml:space="preserve"> Organization. “ILO modelled estimates database” ILOSTAT. </w:t>
            </w:r>
            <w:proofErr w:type="spellStart"/>
            <w:r w:rsidRPr="0009027B">
              <w:rPr>
                <w:rFonts w:cstheme="minorHAnsi"/>
                <w:color w:val="333333"/>
                <w:sz w:val="18"/>
                <w:szCs w:val="18"/>
                <w:lang w:val="es-CO"/>
              </w:rPr>
              <w:t>Accessed</w:t>
            </w:r>
            <w:proofErr w:type="spellEnd"/>
            <w:r w:rsidRPr="0009027B">
              <w:rPr>
                <w:rFonts w:cstheme="minorHAnsi"/>
                <w:color w:val="333333"/>
                <w:sz w:val="18"/>
                <w:szCs w:val="18"/>
                <w:lang w:val="es-CO"/>
              </w:rPr>
              <w:t xml:space="preserve"> </w:t>
            </w:r>
            <w:proofErr w:type="spellStart"/>
            <w:r w:rsidRPr="0009027B">
              <w:rPr>
                <w:rFonts w:cstheme="minorHAnsi"/>
                <w:color w:val="333333"/>
                <w:sz w:val="18"/>
                <w:szCs w:val="18"/>
                <w:lang w:val="es-CO"/>
              </w:rPr>
              <w:t>January</w:t>
            </w:r>
            <w:proofErr w:type="spellEnd"/>
            <w:r w:rsidRPr="0009027B">
              <w:rPr>
                <w:rFonts w:cstheme="minorHAnsi"/>
                <w:color w:val="333333"/>
                <w:sz w:val="18"/>
                <w:szCs w:val="18"/>
                <w:lang w:val="es-CO"/>
              </w:rPr>
              <w:t xml:space="preserve"> 2021. https://ilostat.ilo.org/data/.</w:t>
            </w:r>
          </w:p>
        </w:tc>
      </w:tr>
      <w:tr w:rsidR="0009027B" w:rsidRPr="0009027B" w:rsidTr="00F05F81">
        <w:tc>
          <w:tcPr>
            <w:tcW w:w="2047" w:type="dxa"/>
          </w:tcPr>
          <w:p w:rsidR="0009027B" w:rsidRPr="0009027B" w:rsidRDefault="0009027B" w:rsidP="001B5C8D">
            <w:pPr>
              <w:spacing w:before="60" w:after="75" w:line="270" w:lineRule="atLeast"/>
              <w:rPr>
                <w:rFonts w:cstheme="minorHAnsi"/>
                <w:color w:val="333333"/>
                <w:sz w:val="18"/>
                <w:szCs w:val="18"/>
                <w:lang w:val="en-US"/>
              </w:rPr>
            </w:pPr>
            <w:r w:rsidRPr="0009027B">
              <w:rPr>
                <w:rFonts w:cstheme="minorHAnsi"/>
                <w:color w:val="333333"/>
                <w:sz w:val="18"/>
                <w:szCs w:val="18"/>
                <w:shd w:val="clear" w:color="auto" w:fill="FFFFFF"/>
                <w:lang w:val="en-US"/>
              </w:rPr>
              <w:t>Wage and salaried workers, total (% of total employment) (modeled ILO estimate)</w:t>
            </w:r>
          </w:p>
        </w:tc>
        <w:tc>
          <w:tcPr>
            <w:tcW w:w="2626" w:type="dxa"/>
          </w:tcPr>
          <w:p w:rsidR="0009027B" w:rsidRPr="0009027B" w:rsidRDefault="0009027B" w:rsidP="00F05F81">
            <w:pPr>
              <w:jc w:val="both"/>
              <w:rPr>
                <w:rFonts w:cstheme="minorHAnsi"/>
                <w:sz w:val="18"/>
                <w:szCs w:val="18"/>
                <w:lang w:val="es-CO"/>
              </w:rPr>
            </w:pPr>
            <w:r w:rsidRPr="0009027B">
              <w:rPr>
                <w:rFonts w:cstheme="minorHAnsi"/>
                <w:sz w:val="18"/>
                <w:szCs w:val="18"/>
                <w:lang w:val="es-CO"/>
              </w:rPr>
              <w:t>Los trabajadores asalariados (empleados) son aquellos trabajadores que ocupan el tipo de trabajos definidos como "trabajos de empleo remunerado", donde los titulares tienen contratos de trabajo explícitos (escritos u orales) o implícitos que les otorgan una remuneración básica que no depende directamente de los ingresos de la unidad para la que trabajan.</w:t>
            </w:r>
          </w:p>
        </w:tc>
        <w:tc>
          <w:tcPr>
            <w:tcW w:w="1770" w:type="dxa"/>
          </w:tcPr>
          <w:p w:rsidR="0009027B" w:rsidRPr="0009027B" w:rsidRDefault="0009027B" w:rsidP="008A4689">
            <w:pPr>
              <w:spacing w:before="60" w:after="75" w:line="270" w:lineRule="atLeast"/>
              <w:rPr>
                <w:rFonts w:cstheme="minorHAnsi"/>
                <w:color w:val="333333"/>
                <w:sz w:val="18"/>
                <w:szCs w:val="18"/>
                <w:lang w:val="es-CO"/>
              </w:rPr>
            </w:pPr>
            <w:r w:rsidRPr="0009027B">
              <w:rPr>
                <w:rFonts w:cstheme="minorHAnsi"/>
                <w:color w:val="333333"/>
                <w:sz w:val="18"/>
                <w:szCs w:val="18"/>
                <w:lang w:val="es-CO"/>
              </w:rPr>
              <w:t>SL.EMP.WORK.ZS</w:t>
            </w:r>
          </w:p>
        </w:tc>
        <w:tc>
          <w:tcPr>
            <w:tcW w:w="2385" w:type="dxa"/>
          </w:tcPr>
          <w:p w:rsidR="0009027B" w:rsidRPr="0009027B" w:rsidRDefault="0009027B" w:rsidP="001B5C8D">
            <w:pPr>
              <w:spacing w:before="60" w:after="75" w:line="270" w:lineRule="atLeast"/>
              <w:rPr>
                <w:rFonts w:cstheme="minorHAnsi"/>
                <w:color w:val="333333"/>
                <w:sz w:val="18"/>
                <w:szCs w:val="18"/>
                <w:lang w:val="es-CO"/>
              </w:rPr>
            </w:pPr>
            <w:r w:rsidRPr="0009027B">
              <w:rPr>
                <w:rFonts w:cstheme="minorHAnsi"/>
                <w:color w:val="333333"/>
                <w:sz w:val="18"/>
                <w:szCs w:val="18"/>
                <w:lang w:val="en-US"/>
              </w:rPr>
              <w:t xml:space="preserve">International </w:t>
            </w:r>
            <w:proofErr w:type="spellStart"/>
            <w:r w:rsidRPr="0009027B">
              <w:rPr>
                <w:rFonts w:cstheme="minorHAnsi"/>
                <w:color w:val="333333"/>
                <w:sz w:val="18"/>
                <w:szCs w:val="18"/>
                <w:lang w:val="en-US"/>
              </w:rPr>
              <w:t>Labour</w:t>
            </w:r>
            <w:proofErr w:type="spellEnd"/>
            <w:r w:rsidRPr="0009027B">
              <w:rPr>
                <w:rFonts w:cstheme="minorHAnsi"/>
                <w:color w:val="333333"/>
                <w:sz w:val="18"/>
                <w:szCs w:val="18"/>
                <w:lang w:val="en-US"/>
              </w:rPr>
              <w:t xml:space="preserve"> Organization. “ILO modelled estimates database” ILOSTAT. </w:t>
            </w:r>
            <w:proofErr w:type="spellStart"/>
            <w:r w:rsidRPr="0009027B">
              <w:rPr>
                <w:rFonts w:cstheme="minorHAnsi"/>
                <w:color w:val="333333"/>
                <w:sz w:val="18"/>
                <w:szCs w:val="18"/>
                <w:lang w:val="es-CO"/>
              </w:rPr>
              <w:t>Accessed</w:t>
            </w:r>
            <w:proofErr w:type="spellEnd"/>
            <w:r w:rsidRPr="0009027B">
              <w:rPr>
                <w:rFonts w:cstheme="minorHAnsi"/>
                <w:color w:val="333333"/>
                <w:sz w:val="18"/>
                <w:szCs w:val="18"/>
                <w:lang w:val="es-CO"/>
              </w:rPr>
              <w:t xml:space="preserve"> </w:t>
            </w:r>
            <w:proofErr w:type="spellStart"/>
            <w:r w:rsidRPr="0009027B">
              <w:rPr>
                <w:rFonts w:cstheme="minorHAnsi"/>
                <w:color w:val="333333"/>
                <w:sz w:val="18"/>
                <w:szCs w:val="18"/>
                <w:lang w:val="es-CO"/>
              </w:rPr>
              <w:t>January</w:t>
            </w:r>
            <w:proofErr w:type="spellEnd"/>
            <w:r w:rsidRPr="0009027B">
              <w:rPr>
                <w:rFonts w:cstheme="minorHAnsi"/>
                <w:color w:val="333333"/>
                <w:sz w:val="18"/>
                <w:szCs w:val="18"/>
                <w:lang w:val="es-CO"/>
              </w:rPr>
              <w:t xml:space="preserve"> 2021. https://ilostat.ilo.org/data/.</w:t>
            </w:r>
          </w:p>
        </w:tc>
      </w:tr>
    </w:tbl>
    <w:p w:rsidR="008A4689" w:rsidRPr="00C5458C" w:rsidRDefault="008A4689" w:rsidP="000E29B9">
      <w:pPr>
        <w:rPr>
          <w:lang w:val="es-CO"/>
        </w:rPr>
      </w:pPr>
    </w:p>
    <w:p w:rsidR="008A4689" w:rsidRPr="00C5458C" w:rsidRDefault="008A4689" w:rsidP="008A4689">
      <w:pPr>
        <w:rPr>
          <w:lang w:val="es-CO"/>
        </w:rPr>
      </w:pPr>
      <w:r w:rsidRPr="00C5458C">
        <w:rPr>
          <w:lang w:val="es-CO"/>
        </w:rPr>
        <w:t xml:space="preserve">        </w:t>
      </w:r>
    </w:p>
    <w:p w:rsidR="008A4689" w:rsidRPr="00C5458C" w:rsidRDefault="008A4689" w:rsidP="008A4689">
      <w:pPr>
        <w:rPr>
          <w:lang w:val="es-CO"/>
        </w:rPr>
      </w:pPr>
    </w:p>
    <w:sectPr w:rsidR="008A4689" w:rsidRPr="00C545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689"/>
    <w:rsid w:val="0009027B"/>
    <w:rsid w:val="000E29B9"/>
    <w:rsid w:val="001B5C8D"/>
    <w:rsid w:val="00472967"/>
    <w:rsid w:val="005E42A5"/>
    <w:rsid w:val="007D0A0C"/>
    <w:rsid w:val="008A4689"/>
    <w:rsid w:val="00BB2F15"/>
    <w:rsid w:val="00C5458C"/>
    <w:rsid w:val="00F05F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B4721"/>
  <w15:chartTrackingRefBased/>
  <w15:docId w15:val="{B745E097-2331-4EFE-8A95-83A0961E3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A4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9239">
      <w:bodyDiv w:val="1"/>
      <w:marLeft w:val="0"/>
      <w:marRight w:val="0"/>
      <w:marTop w:val="0"/>
      <w:marBottom w:val="0"/>
      <w:divBdr>
        <w:top w:val="none" w:sz="0" w:space="0" w:color="auto"/>
        <w:left w:val="none" w:sz="0" w:space="0" w:color="auto"/>
        <w:bottom w:val="none" w:sz="0" w:space="0" w:color="auto"/>
        <w:right w:val="none" w:sz="0" w:space="0" w:color="auto"/>
      </w:divBdr>
    </w:div>
    <w:div w:id="108361912">
      <w:bodyDiv w:val="1"/>
      <w:marLeft w:val="0"/>
      <w:marRight w:val="0"/>
      <w:marTop w:val="0"/>
      <w:marBottom w:val="0"/>
      <w:divBdr>
        <w:top w:val="none" w:sz="0" w:space="0" w:color="auto"/>
        <w:left w:val="none" w:sz="0" w:space="0" w:color="auto"/>
        <w:bottom w:val="none" w:sz="0" w:space="0" w:color="auto"/>
        <w:right w:val="none" w:sz="0" w:space="0" w:color="auto"/>
      </w:divBdr>
    </w:div>
    <w:div w:id="200554264">
      <w:bodyDiv w:val="1"/>
      <w:marLeft w:val="0"/>
      <w:marRight w:val="0"/>
      <w:marTop w:val="0"/>
      <w:marBottom w:val="0"/>
      <w:divBdr>
        <w:top w:val="none" w:sz="0" w:space="0" w:color="auto"/>
        <w:left w:val="none" w:sz="0" w:space="0" w:color="auto"/>
        <w:bottom w:val="none" w:sz="0" w:space="0" w:color="auto"/>
        <w:right w:val="none" w:sz="0" w:space="0" w:color="auto"/>
      </w:divBdr>
    </w:div>
    <w:div w:id="226065719">
      <w:bodyDiv w:val="1"/>
      <w:marLeft w:val="0"/>
      <w:marRight w:val="0"/>
      <w:marTop w:val="0"/>
      <w:marBottom w:val="0"/>
      <w:divBdr>
        <w:top w:val="none" w:sz="0" w:space="0" w:color="auto"/>
        <w:left w:val="none" w:sz="0" w:space="0" w:color="auto"/>
        <w:bottom w:val="none" w:sz="0" w:space="0" w:color="auto"/>
        <w:right w:val="none" w:sz="0" w:space="0" w:color="auto"/>
      </w:divBdr>
    </w:div>
    <w:div w:id="258567100">
      <w:bodyDiv w:val="1"/>
      <w:marLeft w:val="0"/>
      <w:marRight w:val="0"/>
      <w:marTop w:val="0"/>
      <w:marBottom w:val="0"/>
      <w:divBdr>
        <w:top w:val="none" w:sz="0" w:space="0" w:color="auto"/>
        <w:left w:val="none" w:sz="0" w:space="0" w:color="auto"/>
        <w:bottom w:val="none" w:sz="0" w:space="0" w:color="auto"/>
        <w:right w:val="none" w:sz="0" w:space="0" w:color="auto"/>
      </w:divBdr>
    </w:div>
    <w:div w:id="262419633">
      <w:bodyDiv w:val="1"/>
      <w:marLeft w:val="0"/>
      <w:marRight w:val="0"/>
      <w:marTop w:val="0"/>
      <w:marBottom w:val="0"/>
      <w:divBdr>
        <w:top w:val="none" w:sz="0" w:space="0" w:color="auto"/>
        <w:left w:val="none" w:sz="0" w:space="0" w:color="auto"/>
        <w:bottom w:val="none" w:sz="0" w:space="0" w:color="auto"/>
        <w:right w:val="none" w:sz="0" w:space="0" w:color="auto"/>
      </w:divBdr>
    </w:div>
    <w:div w:id="269969416">
      <w:bodyDiv w:val="1"/>
      <w:marLeft w:val="0"/>
      <w:marRight w:val="0"/>
      <w:marTop w:val="0"/>
      <w:marBottom w:val="0"/>
      <w:divBdr>
        <w:top w:val="none" w:sz="0" w:space="0" w:color="auto"/>
        <w:left w:val="none" w:sz="0" w:space="0" w:color="auto"/>
        <w:bottom w:val="none" w:sz="0" w:space="0" w:color="auto"/>
        <w:right w:val="none" w:sz="0" w:space="0" w:color="auto"/>
      </w:divBdr>
    </w:div>
    <w:div w:id="277639052">
      <w:bodyDiv w:val="1"/>
      <w:marLeft w:val="0"/>
      <w:marRight w:val="0"/>
      <w:marTop w:val="0"/>
      <w:marBottom w:val="0"/>
      <w:divBdr>
        <w:top w:val="none" w:sz="0" w:space="0" w:color="auto"/>
        <w:left w:val="none" w:sz="0" w:space="0" w:color="auto"/>
        <w:bottom w:val="none" w:sz="0" w:space="0" w:color="auto"/>
        <w:right w:val="none" w:sz="0" w:space="0" w:color="auto"/>
      </w:divBdr>
    </w:div>
    <w:div w:id="283732622">
      <w:bodyDiv w:val="1"/>
      <w:marLeft w:val="0"/>
      <w:marRight w:val="0"/>
      <w:marTop w:val="0"/>
      <w:marBottom w:val="0"/>
      <w:divBdr>
        <w:top w:val="none" w:sz="0" w:space="0" w:color="auto"/>
        <w:left w:val="none" w:sz="0" w:space="0" w:color="auto"/>
        <w:bottom w:val="none" w:sz="0" w:space="0" w:color="auto"/>
        <w:right w:val="none" w:sz="0" w:space="0" w:color="auto"/>
      </w:divBdr>
      <w:divsChild>
        <w:div w:id="19011813">
          <w:marLeft w:val="0"/>
          <w:marRight w:val="0"/>
          <w:marTop w:val="0"/>
          <w:marBottom w:val="0"/>
          <w:divBdr>
            <w:top w:val="none" w:sz="0" w:space="0" w:color="auto"/>
            <w:left w:val="none" w:sz="0" w:space="0" w:color="auto"/>
            <w:bottom w:val="none" w:sz="0" w:space="0" w:color="auto"/>
            <w:right w:val="none" w:sz="0" w:space="0" w:color="auto"/>
          </w:divBdr>
          <w:divsChild>
            <w:div w:id="1782721252">
              <w:marLeft w:val="0"/>
              <w:marRight w:val="0"/>
              <w:marTop w:val="0"/>
              <w:marBottom w:val="0"/>
              <w:divBdr>
                <w:top w:val="none" w:sz="0" w:space="0" w:color="auto"/>
                <w:left w:val="none" w:sz="0" w:space="0" w:color="auto"/>
                <w:bottom w:val="none" w:sz="0" w:space="0" w:color="auto"/>
                <w:right w:val="none" w:sz="0" w:space="0" w:color="auto"/>
              </w:divBdr>
            </w:div>
            <w:div w:id="210465611">
              <w:marLeft w:val="0"/>
              <w:marRight w:val="0"/>
              <w:marTop w:val="0"/>
              <w:marBottom w:val="0"/>
              <w:divBdr>
                <w:top w:val="none" w:sz="0" w:space="0" w:color="auto"/>
                <w:left w:val="none" w:sz="0" w:space="0" w:color="auto"/>
                <w:bottom w:val="none" w:sz="0" w:space="0" w:color="auto"/>
                <w:right w:val="none" w:sz="0" w:space="0" w:color="auto"/>
              </w:divBdr>
            </w:div>
            <w:div w:id="677080949">
              <w:marLeft w:val="0"/>
              <w:marRight w:val="0"/>
              <w:marTop w:val="0"/>
              <w:marBottom w:val="0"/>
              <w:divBdr>
                <w:top w:val="none" w:sz="0" w:space="0" w:color="auto"/>
                <w:left w:val="none" w:sz="0" w:space="0" w:color="auto"/>
                <w:bottom w:val="none" w:sz="0" w:space="0" w:color="auto"/>
                <w:right w:val="none" w:sz="0" w:space="0" w:color="auto"/>
              </w:divBdr>
            </w:div>
            <w:div w:id="2098206297">
              <w:marLeft w:val="0"/>
              <w:marRight w:val="0"/>
              <w:marTop w:val="0"/>
              <w:marBottom w:val="0"/>
              <w:divBdr>
                <w:top w:val="none" w:sz="0" w:space="0" w:color="auto"/>
                <w:left w:val="none" w:sz="0" w:space="0" w:color="auto"/>
                <w:bottom w:val="none" w:sz="0" w:space="0" w:color="auto"/>
                <w:right w:val="none" w:sz="0" w:space="0" w:color="auto"/>
              </w:divBdr>
            </w:div>
            <w:div w:id="1372418751">
              <w:marLeft w:val="0"/>
              <w:marRight w:val="0"/>
              <w:marTop w:val="0"/>
              <w:marBottom w:val="0"/>
              <w:divBdr>
                <w:top w:val="none" w:sz="0" w:space="0" w:color="auto"/>
                <w:left w:val="none" w:sz="0" w:space="0" w:color="auto"/>
                <w:bottom w:val="none" w:sz="0" w:space="0" w:color="auto"/>
                <w:right w:val="none" w:sz="0" w:space="0" w:color="auto"/>
              </w:divBdr>
            </w:div>
            <w:div w:id="1136295928">
              <w:marLeft w:val="0"/>
              <w:marRight w:val="0"/>
              <w:marTop w:val="0"/>
              <w:marBottom w:val="0"/>
              <w:divBdr>
                <w:top w:val="none" w:sz="0" w:space="0" w:color="auto"/>
                <w:left w:val="none" w:sz="0" w:space="0" w:color="auto"/>
                <w:bottom w:val="none" w:sz="0" w:space="0" w:color="auto"/>
                <w:right w:val="none" w:sz="0" w:space="0" w:color="auto"/>
              </w:divBdr>
            </w:div>
            <w:div w:id="2104644058">
              <w:marLeft w:val="0"/>
              <w:marRight w:val="0"/>
              <w:marTop w:val="0"/>
              <w:marBottom w:val="0"/>
              <w:divBdr>
                <w:top w:val="none" w:sz="0" w:space="0" w:color="auto"/>
                <w:left w:val="none" w:sz="0" w:space="0" w:color="auto"/>
                <w:bottom w:val="none" w:sz="0" w:space="0" w:color="auto"/>
                <w:right w:val="none" w:sz="0" w:space="0" w:color="auto"/>
              </w:divBdr>
            </w:div>
            <w:div w:id="1244878055">
              <w:marLeft w:val="0"/>
              <w:marRight w:val="0"/>
              <w:marTop w:val="0"/>
              <w:marBottom w:val="0"/>
              <w:divBdr>
                <w:top w:val="none" w:sz="0" w:space="0" w:color="auto"/>
                <w:left w:val="none" w:sz="0" w:space="0" w:color="auto"/>
                <w:bottom w:val="none" w:sz="0" w:space="0" w:color="auto"/>
                <w:right w:val="none" w:sz="0" w:space="0" w:color="auto"/>
              </w:divBdr>
            </w:div>
            <w:div w:id="1251500517">
              <w:marLeft w:val="0"/>
              <w:marRight w:val="0"/>
              <w:marTop w:val="0"/>
              <w:marBottom w:val="0"/>
              <w:divBdr>
                <w:top w:val="none" w:sz="0" w:space="0" w:color="auto"/>
                <w:left w:val="none" w:sz="0" w:space="0" w:color="auto"/>
                <w:bottom w:val="none" w:sz="0" w:space="0" w:color="auto"/>
                <w:right w:val="none" w:sz="0" w:space="0" w:color="auto"/>
              </w:divBdr>
            </w:div>
            <w:div w:id="1179925401">
              <w:marLeft w:val="0"/>
              <w:marRight w:val="0"/>
              <w:marTop w:val="0"/>
              <w:marBottom w:val="0"/>
              <w:divBdr>
                <w:top w:val="none" w:sz="0" w:space="0" w:color="auto"/>
                <w:left w:val="none" w:sz="0" w:space="0" w:color="auto"/>
                <w:bottom w:val="none" w:sz="0" w:space="0" w:color="auto"/>
                <w:right w:val="none" w:sz="0" w:space="0" w:color="auto"/>
              </w:divBdr>
            </w:div>
            <w:div w:id="2065331725">
              <w:marLeft w:val="0"/>
              <w:marRight w:val="0"/>
              <w:marTop w:val="0"/>
              <w:marBottom w:val="0"/>
              <w:divBdr>
                <w:top w:val="none" w:sz="0" w:space="0" w:color="auto"/>
                <w:left w:val="none" w:sz="0" w:space="0" w:color="auto"/>
                <w:bottom w:val="none" w:sz="0" w:space="0" w:color="auto"/>
                <w:right w:val="none" w:sz="0" w:space="0" w:color="auto"/>
              </w:divBdr>
            </w:div>
            <w:div w:id="1811095522">
              <w:marLeft w:val="0"/>
              <w:marRight w:val="0"/>
              <w:marTop w:val="0"/>
              <w:marBottom w:val="0"/>
              <w:divBdr>
                <w:top w:val="none" w:sz="0" w:space="0" w:color="auto"/>
                <w:left w:val="none" w:sz="0" w:space="0" w:color="auto"/>
                <w:bottom w:val="none" w:sz="0" w:space="0" w:color="auto"/>
                <w:right w:val="none" w:sz="0" w:space="0" w:color="auto"/>
              </w:divBdr>
            </w:div>
            <w:div w:id="535508574">
              <w:marLeft w:val="0"/>
              <w:marRight w:val="0"/>
              <w:marTop w:val="0"/>
              <w:marBottom w:val="0"/>
              <w:divBdr>
                <w:top w:val="none" w:sz="0" w:space="0" w:color="auto"/>
                <w:left w:val="none" w:sz="0" w:space="0" w:color="auto"/>
                <w:bottom w:val="none" w:sz="0" w:space="0" w:color="auto"/>
                <w:right w:val="none" w:sz="0" w:space="0" w:color="auto"/>
              </w:divBdr>
            </w:div>
            <w:div w:id="1087265317">
              <w:marLeft w:val="0"/>
              <w:marRight w:val="0"/>
              <w:marTop w:val="0"/>
              <w:marBottom w:val="0"/>
              <w:divBdr>
                <w:top w:val="none" w:sz="0" w:space="0" w:color="auto"/>
                <w:left w:val="none" w:sz="0" w:space="0" w:color="auto"/>
                <w:bottom w:val="none" w:sz="0" w:space="0" w:color="auto"/>
                <w:right w:val="none" w:sz="0" w:space="0" w:color="auto"/>
              </w:divBdr>
            </w:div>
            <w:div w:id="1616060315">
              <w:marLeft w:val="0"/>
              <w:marRight w:val="0"/>
              <w:marTop w:val="0"/>
              <w:marBottom w:val="0"/>
              <w:divBdr>
                <w:top w:val="none" w:sz="0" w:space="0" w:color="auto"/>
                <w:left w:val="none" w:sz="0" w:space="0" w:color="auto"/>
                <w:bottom w:val="none" w:sz="0" w:space="0" w:color="auto"/>
                <w:right w:val="none" w:sz="0" w:space="0" w:color="auto"/>
              </w:divBdr>
            </w:div>
            <w:div w:id="495338345">
              <w:marLeft w:val="0"/>
              <w:marRight w:val="0"/>
              <w:marTop w:val="0"/>
              <w:marBottom w:val="0"/>
              <w:divBdr>
                <w:top w:val="none" w:sz="0" w:space="0" w:color="auto"/>
                <w:left w:val="none" w:sz="0" w:space="0" w:color="auto"/>
                <w:bottom w:val="none" w:sz="0" w:space="0" w:color="auto"/>
                <w:right w:val="none" w:sz="0" w:space="0" w:color="auto"/>
              </w:divBdr>
            </w:div>
            <w:div w:id="5282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8823">
      <w:bodyDiv w:val="1"/>
      <w:marLeft w:val="0"/>
      <w:marRight w:val="0"/>
      <w:marTop w:val="0"/>
      <w:marBottom w:val="0"/>
      <w:divBdr>
        <w:top w:val="none" w:sz="0" w:space="0" w:color="auto"/>
        <w:left w:val="none" w:sz="0" w:space="0" w:color="auto"/>
        <w:bottom w:val="none" w:sz="0" w:space="0" w:color="auto"/>
        <w:right w:val="none" w:sz="0" w:space="0" w:color="auto"/>
      </w:divBdr>
    </w:div>
    <w:div w:id="320358023">
      <w:bodyDiv w:val="1"/>
      <w:marLeft w:val="0"/>
      <w:marRight w:val="0"/>
      <w:marTop w:val="0"/>
      <w:marBottom w:val="0"/>
      <w:divBdr>
        <w:top w:val="none" w:sz="0" w:space="0" w:color="auto"/>
        <w:left w:val="none" w:sz="0" w:space="0" w:color="auto"/>
        <w:bottom w:val="none" w:sz="0" w:space="0" w:color="auto"/>
        <w:right w:val="none" w:sz="0" w:space="0" w:color="auto"/>
      </w:divBdr>
    </w:div>
    <w:div w:id="362369334">
      <w:bodyDiv w:val="1"/>
      <w:marLeft w:val="0"/>
      <w:marRight w:val="0"/>
      <w:marTop w:val="0"/>
      <w:marBottom w:val="0"/>
      <w:divBdr>
        <w:top w:val="none" w:sz="0" w:space="0" w:color="auto"/>
        <w:left w:val="none" w:sz="0" w:space="0" w:color="auto"/>
        <w:bottom w:val="none" w:sz="0" w:space="0" w:color="auto"/>
        <w:right w:val="none" w:sz="0" w:space="0" w:color="auto"/>
      </w:divBdr>
    </w:div>
    <w:div w:id="446897085">
      <w:bodyDiv w:val="1"/>
      <w:marLeft w:val="0"/>
      <w:marRight w:val="0"/>
      <w:marTop w:val="0"/>
      <w:marBottom w:val="0"/>
      <w:divBdr>
        <w:top w:val="none" w:sz="0" w:space="0" w:color="auto"/>
        <w:left w:val="none" w:sz="0" w:space="0" w:color="auto"/>
        <w:bottom w:val="none" w:sz="0" w:space="0" w:color="auto"/>
        <w:right w:val="none" w:sz="0" w:space="0" w:color="auto"/>
      </w:divBdr>
    </w:div>
    <w:div w:id="487331285">
      <w:bodyDiv w:val="1"/>
      <w:marLeft w:val="0"/>
      <w:marRight w:val="0"/>
      <w:marTop w:val="0"/>
      <w:marBottom w:val="0"/>
      <w:divBdr>
        <w:top w:val="none" w:sz="0" w:space="0" w:color="auto"/>
        <w:left w:val="none" w:sz="0" w:space="0" w:color="auto"/>
        <w:bottom w:val="none" w:sz="0" w:space="0" w:color="auto"/>
        <w:right w:val="none" w:sz="0" w:space="0" w:color="auto"/>
      </w:divBdr>
    </w:div>
    <w:div w:id="507792063">
      <w:bodyDiv w:val="1"/>
      <w:marLeft w:val="0"/>
      <w:marRight w:val="0"/>
      <w:marTop w:val="0"/>
      <w:marBottom w:val="0"/>
      <w:divBdr>
        <w:top w:val="none" w:sz="0" w:space="0" w:color="auto"/>
        <w:left w:val="none" w:sz="0" w:space="0" w:color="auto"/>
        <w:bottom w:val="none" w:sz="0" w:space="0" w:color="auto"/>
        <w:right w:val="none" w:sz="0" w:space="0" w:color="auto"/>
      </w:divBdr>
    </w:div>
    <w:div w:id="543057413">
      <w:bodyDiv w:val="1"/>
      <w:marLeft w:val="0"/>
      <w:marRight w:val="0"/>
      <w:marTop w:val="0"/>
      <w:marBottom w:val="0"/>
      <w:divBdr>
        <w:top w:val="none" w:sz="0" w:space="0" w:color="auto"/>
        <w:left w:val="none" w:sz="0" w:space="0" w:color="auto"/>
        <w:bottom w:val="none" w:sz="0" w:space="0" w:color="auto"/>
        <w:right w:val="none" w:sz="0" w:space="0" w:color="auto"/>
      </w:divBdr>
    </w:div>
    <w:div w:id="570192385">
      <w:bodyDiv w:val="1"/>
      <w:marLeft w:val="0"/>
      <w:marRight w:val="0"/>
      <w:marTop w:val="0"/>
      <w:marBottom w:val="0"/>
      <w:divBdr>
        <w:top w:val="none" w:sz="0" w:space="0" w:color="auto"/>
        <w:left w:val="none" w:sz="0" w:space="0" w:color="auto"/>
        <w:bottom w:val="none" w:sz="0" w:space="0" w:color="auto"/>
        <w:right w:val="none" w:sz="0" w:space="0" w:color="auto"/>
      </w:divBdr>
    </w:div>
    <w:div w:id="570500903">
      <w:bodyDiv w:val="1"/>
      <w:marLeft w:val="0"/>
      <w:marRight w:val="0"/>
      <w:marTop w:val="0"/>
      <w:marBottom w:val="0"/>
      <w:divBdr>
        <w:top w:val="none" w:sz="0" w:space="0" w:color="auto"/>
        <w:left w:val="none" w:sz="0" w:space="0" w:color="auto"/>
        <w:bottom w:val="none" w:sz="0" w:space="0" w:color="auto"/>
        <w:right w:val="none" w:sz="0" w:space="0" w:color="auto"/>
      </w:divBdr>
    </w:div>
    <w:div w:id="575943083">
      <w:bodyDiv w:val="1"/>
      <w:marLeft w:val="0"/>
      <w:marRight w:val="0"/>
      <w:marTop w:val="0"/>
      <w:marBottom w:val="0"/>
      <w:divBdr>
        <w:top w:val="none" w:sz="0" w:space="0" w:color="auto"/>
        <w:left w:val="none" w:sz="0" w:space="0" w:color="auto"/>
        <w:bottom w:val="none" w:sz="0" w:space="0" w:color="auto"/>
        <w:right w:val="none" w:sz="0" w:space="0" w:color="auto"/>
      </w:divBdr>
    </w:div>
    <w:div w:id="669210619">
      <w:bodyDiv w:val="1"/>
      <w:marLeft w:val="0"/>
      <w:marRight w:val="0"/>
      <w:marTop w:val="0"/>
      <w:marBottom w:val="0"/>
      <w:divBdr>
        <w:top w:val="none" w:sz="0" w:space="0" w:color="auto"/>
        <w:left w:val="none" w:sz="0" w:space="0" w:color="auto"/>
        <w:bottom w:val="none" w:sz="0" w:space="0" w:color="auto"/>
        <w:right w:val="none" w:sz="0" w:space="0" w:color="auto"/>
      </w:divBdr>
    </w:div>
    <w:div w:id="788551373">
      <w:bodyDiv w:val="1"/>
      <w:marLeft w:val="0"/>
      <w:marRight w:val="0"/>
      <w:marTop w:val="0"/>
      <w:marBottom w:val="0"/>
      <w:divBdr>
        <w:top w:val="none" w:sz="0" w:space="0" w:color="auto"/>
        <w:left w:val="none" w:sz="0" w:space="0" w:color="auto"/>
        <w:bottom w:val="none" w:sz="0" w:space="0" w:color="auto"/>
        <w:right w:val="none" w:sz="0" w:space="0" w:color="auto"/>
      </w:divBdr>
    </w:div>
    <w:div w:id="867134634">
      <w:bodyDiv w:val="1"/>
      <w:marLeft w:val="0"/>
      <w:marRight w:val="0"/>
      <w:marTop w:val="0"/>
      <w:marBottom w:val="0"/>
      <w:divBdr>
        <w:top w:val="none" w:sz="0" w:space="0" w:color="auto"/>
        <w:left w:val="none" w:sz="0" w:space="0" w:color="auto"/>
        <w:bottom w:val="none" w:sz="0" w:space="0" w:color="auto"/>
        <w:right w:val="none" w:sz="0" w:space="0" w:color="auto"/>
      </w:divBdr>
    </w:div>
    <w:div w:id="953171310">
      <w:bodyDiv w:val="1"/>
      <w:marLeft w:val="0"/>
      <w:marRight w:val="0"/>
      <w:marTop w:val="0"/>
      <w:marBottom w:val="0"/>
      <w:divBdr>
        <w:top w:val="none" w:sz="0" w:space="0" w:color="auto"/>
        <w:left w:val="none" w:sz="0" w:space="0" w:color="auto"/>
        <w:bottom w:val="none" w:sz="0" w:space="0" w:color="auto"/>
        <w:right w:val="none" w:sz="0" w:space="0" w:color="auto"/>
      </w:divBdr>
    </w:div>
    <w:div w:id="1142309130">
      <w:bodyDiv w:val="1"/>
      <w:marLeft w:val="0"/>
      <w:marRight w:val="0"/>
      <w:marTop w:val="0"/>
      <w:marBottom w:val="0"/>
      <w:divBdr>
        <w:top w:val="none" w:sz="0" w:space="0" w:color="auto"/>
        <w:left w:val="none" w:sz="0" w:space="0" w:color="auto"/>
        <w:bottom w:val="none" w:sz="0" w:space="0" w:color="auto"/>
        <w:right w:val="none" w:sz="0" w:space="0" w:color="auto"/>
      </w:divBdr>
    </w:div>
    <w:div w:id="1259753159">
      <w:bodyDiv w:val="1"/>
      <w:marLeft w:val="0"/>
      <w:marRight w:val="0"/>
      <w:marTop w:val="0"/>
      <w:marBottom w:val="0"/>
      <w:divBdr>
        <w:top w:val="none" w:sz="0" w:space="0" w:color="auto"/>
        <w:left w:val="none" w:sz="0" w:space="0" w:color="auto"/>
        <w:bottom w:val="none" w:sz="0" w:space="0" w:color="auto"/>
        <w:right w:val="none" w:sz="0" w:space="0" w:color="auto"/>
      </w:divBdr>
    </w:div>
    <w:div w:id="1301691855">
      <w:bodyDiv w:val="1"/>
      <w:marLeft w:val="0"/>
      <w:marRight w:val="0"/>
      <w:marTop w:val="0"/>
      <w:marBottom w:val="0"/>
      <w:divBdr>
        <w:top w:val="none" w:sz="0" w:space="0" w:color="auto"/>
        <w:left w:val="none" w:sz="0" w:space="0" w:color="auto"/>
        <w:bottom w:val="none" w:sz="0" w:space="0" w:color="auto"/>
        <w:right w:val="none" w:sz="0" w:space="0" w:color="auto"/>
      </w:divBdr>
    </w:div>
    <w:div w:id="1322924229">
      <w:bodyDiv w:val="1"/>
      <w:marLeft w:val="0"/>
      <w:marRight w:val="0"/>
      <w:marTop w:val="0"/>
      <w:marBottom w:val="0"/>
      <w:divBdr>
        <w:top w:val="none" w:sz="0" w:space="0" w:color="auto"/>
        <w:left w:val="none" w:sz="0" w:space="0" w:color="auto"/>
        <w:bottom w:val="none" w:sz="0" w:space="0" w:color="auto"/>
        <w:right w:val="none" w:sz="0" w:space="0" w:color="auto"/>
      </w:divBdr>
    </w:div>
    <w:div w:id="1348828103">
      <w:bodyDiv w:val="1"/>
      <w:marLeft w:val="0"/>
      <w:marRight w:val="0"/>
      <w:marTop w:val="0"/>
      <w:marBottom w:val="0"/>
      <w:divBdr>
        <w:top w:val="none" w:sz="0" w:space="0" w:color="auto"/>
        <w:left w:val="none" w:sz="0" w:space="0" w:color="auto"/>
        <w:bottom w:val="none" w:sz="0" w:space="0" w:color="auto"/>
        <w:right w:val="none" w:sz="0" w:space="0" w:color="auto"/>
      </w:divBdr>
    </w:div>
    <w:div w:id="1461462007">
      <w:bodyDiv w:val="1"/>
      <w:marLeft w:val="0"/>
      <w:marRight w:val="0"/>
      <w:marTop w:val="0"/>
      <w:marBottom w:val="0"/>
      <w:divBdr>
        <w:top w:val="none" w:sz="0" w:space="0" w:color="auto"/>
        <w:left w:val="none" w:sz="0" w:space="0" w:color="auto"/>
        <w:bottom w:val="none" w:sz="0" w:space="0" w:color="auto"/>
        <w:right w:val="none" w:sz="0" w:space="0" w:color="auto"/>
      </w:divBdr>
    </w:div>
    <w:div w:id="1508472253">
      <w:bodyDiv w:val="1"/>
      <w:marLeft w:val="0"/>
      <w:marRight w:val="0"/>
      <w:marTop w:val="0"/>
      <w:marBottom w:val="0"/>
      <w:divBdr>
        <w:top w:val="none" w:sz="0" w:space="0" w:color="auto"/>
        <w:left w:val="none" w:sz="0" w:space="0" w:color="auto"/>
        <w:bottom w:val="none" w:sz="0" w:space="0" w:color="auto"/>
        <w:right w:val="none" w:sz="0" w:space="0" w:color="auto"/>
      </w:divBdr>
    </w:div>
    <w:div w:id="1550916545">
      <w:bodyDiv w:val="1"/>
      <w:marLeft w:val="0"/>
      <w:marRight w:val="0"/>
      <w:marTop w:val="0"/>
      <w:marBottom w:val="0"/>
      <w:divBdr>
        <w:top w:val="none" w:sz="0" w:space="0" w:color="auto"/>
        <w:left w:val="none" w:sz="0" w:space="0" w:color="auto"/>
        <w:bottom w:val="none" w:sz="0" w:space="0" w:color="auto"/>
        <w:right w:val="none" w:sz="0" w:space="0" w:color="auto"/>
      </w:divBdr>
    </w:div>
    <w:div w:id="1667004933">
      <w:bodyDiv w:val="1"/>
      <w:marLeft w:val="0"/>
      <w:marRight w:val="0"/>
      <w:marTop w:val="0"/>
      <w:marBottom w:val="0"/>
      <w:divBdr>
        <w:top w:val="none" w:sz="0" w:space="0" w:color="auto"/>
        <w:left w:val="none" w:sz="0" w:space="0" w:color="auto"/>
        <w:bottom w:val="none" w:sz="0" w:space="0" w:color="auto"/>
        <w:right w:val="none" w:sz="0" w:space="0" w:color="auto"/>
      </w:divBdr>
    </w:div>
    <w:div w:id="1798641642">
      <w:bodyDiv w:val="1"/>
      <w:marLeft w:val="0"/>
      <w:marRight w:val="0"/>
      <w:marTop w:val="0"/>
      <w:marBottom w:val="0"/>
      <w:divBdr>
        <w:top w:val="none" w:sz="0" w:space="0" w:color="auto"/>
        <w:left w:val="none" w:sz="0" w:space="0" w:color="auto"/>
        <w:bottom w:val="none" w:sz="0" w:space="0" w:color="auto"/>
        <w:right w:val="none" w:sz="0" w:space="0" w:color="auto"/>
      </w:divBdr>
    </w:div>
    <w:div w:id="1857692725">
      <w:bodyDiv w:val="1"/>
      <w:marLeft w:val="0"/>
      <w:marRight w:val="0"/>
      <w:marTop w:val="0"/>
      <w:marBottom w:val="0"/>
      <w:divBdr>
        <w:top w:val="none" w:sz="0" w:space="0" w:color="auto"/>
        <w:left w:val="none" w:sz="0" w:space="0" w:color="auto"/>
        <w:bottom w:val="none" w:sz="0" w:space="0" w:color="auto"/>
        <w:right w:val="none" w:sz="0" w:space="0" w:color="auto"/>
      </w:divBdr>
    </w:div>
    <w:div w:id="1899436206">
      <w:bodyDiv w:val="1"/>
      <w:marLeft w:val="0"/>
      <w:marRight w:val="0"/>
      <w:marTop w:val="0"/>
      <w:marBottom w:val="0"/>
      <w:divBdr>
        <w:top w:val="none" w:sz="0" w:space="0" w:color="auto"/>
        <w:left w:val="none" w:sz="0" w:space="0" w:color="auto"/>
        <w:bottom w:val="none" w:sz="0" w:space="0" w:color="auto"/>
        <w:right w:val="none" w:sz="0" w:space="0" w:color="auto"/>
      </w:divBdr>
    </w:div>
    <w:div w:id="1915312754">
      <w:bodyDiv w:val="1"/>
      <w:marLeft w:val="0"/>
      <w:marRight w:val="0"/>
      <w:marTop w:val="0"/>
      <w:marBottom w:val="0"/>
      <w:divBdr>
        <w:top w:val="none" w:sz="0" w:space="0" w:color="auto"/>
        <w:left w:val="none" w:sz="0" w:space="0" w:color="auto"/>
        <w:bottom w:val="none" w:sz="0" w:space="0" w:color="auto"/>
        <w:right w:val="none" w:sz="0" w:space="0" w:color="auto"/>
      </w:divBdr>
    </w:div>
    <w:div w:id="1948386077">
      <w:bodyDiv w:val="1"/>
      <w:marLeft w:val="0"/>
      <w:marRight w:val="0"/>
      <w:marTop w:val="0"/>
      <w:marBottom w:val="0"/>
      <w:divBdr>
        <w:top w:val="none" w:sz="0" w:space="0" w:color="auto"/>
        <w:left w:val="none" w:sz="0" w:space="0" w:color="auto"/>
        <w:bottom w:val="none" w:sz="0" w:space="0" w:color="auto"/>
        <w:right w:val="none" w:sz="0" w:space="0" w:color="auto"/>
      </w:divBdr>
    </w:div>
    <w:div w:id="1961184105">
      <w:bodyDiv w:val="1"/>
      <w:marLeft w:val="0"/>
      <w:marRight w:val="0"/>
      <w:marTop w:val="0"/>
      <w:marBottom w:val="0"/>
      <w:divBdr>
        <w:top w:val="none" w:sz="0" w:space="0" w:color="auto"/>
        <w:left w:val="none" w:sz="0" w:space="0" w:color="auto"/>
        <w:bottom w:val="none" w:sz="0" w:space="0" w:color="auto"/>
        <w:right w:val="none" w:sz="0" w:space="0" w:color="auto"/>
      </w:divBdr>
    </w:div>
    <w:div w:id="2029211928">
      <w:bodyDiv w:val="1"/>
      <w:marLeft w:val="0"/>
      <w:marRight w:val="0"/>
      <w:marTop w:val="0"/>
      <w:marBottom w:val="0"/>
      <w:divBdr>
        <w:top w:val="none" w:sz="0" w:space="0" w:color="auto"/>
        <w:left w:val="none" w:sz="0" w:space="0" w:color="auto"/>
        <w:bottom w:val="none" w:sz="0" w:space="0" w:color="auto"/>
        <w:right w:val="none" w:sz="0" w:space="0" w:color="auto"/>
      </w:divBdr>
    </w:div>
    <w:div w:id="2067758425">
      <w:bodyDiv w:val="1"/>
      <w:marLeft w:val="0"/>
      <w:marRight w:val="0"/>
      <w:marTop w:val="0"/>
      <w:marBottom w:val="0"/>
      <w:divBdr>
        <w:top w:val="none" w:sz="0" w:space="0" w:color="auto"/>
        <w:left w:val="none" w:sz="0" w:space="0" w:color="auto"/>
        <w:bottom w:val="none" w:sz="0" w:space="0" w:color="auto"/>
        <w:right w:val="none" w:sz="0" w:space="0" w:color="auto"/>
      </w:divBdr>
    </w:div>
    <w:div w:id="214014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85695-632B-4DD8-A4A7-C06B7D96D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6</Pages>
  <Words>1906</Words>
  <Characters>10489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jeffer cuellar vizcarra</dc:creator>
  <cp:keywords/>
  <dc:description/>
  <cp:lastModifiedBy>max jeffer cuellar vizcarra</cp:lastModifiedBy>
  <cp:revision>1</cp:revision>
  <dcterms:created xsi:type="dcterms:W3CDTF">2023-08-17T16:20:00Z</dcterms:created>
  <dcterms:modified xsi:type="dcterms:W3CDTF">2023-08-17T17:58:00Z</dcterms:modified>
</cp:coreProperties>
</file>