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3FA12374" w14:textId="652C4066" w:rsidR="00A74F7A" w:rsidRDefault="00E53606" w:rsidP="00520BE3">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255B198B" w14:textId="77777777" w:rsidR="00F172DC" w:rsidRDefault="00F172DC" w:rsidP="00A74F7A">
      <w:pPr>
        <w:autoSpaceDE w:val="0"/>
        <w:autoSpaceDN w:val="0"/>
        <w:adjustRightInd w:val="0"/>
        <w:rPr>
          <w:rFonts w:asciiTheme="minorHAnsi" w:hAnsiTheme="minorHAnsi" w:cstheme="minorHAnsi"/>
          <w:lang w:val="en-GB"/>
        </w:rPr>
      </w:pPr>
    </w:p>
    <w:p w14:paraId="2EC19E7B" w14:textId="77777777" w:rsidR="00F172DC" w:rsidRPr="00A74F7A" w:rsidRDefault="00F172DC" w:rsidP="00A74F7A">
      <w:pPr>
        <w:autoSpaceDE w:val="0"/>
        <w:autoSpaceDN w:val="0"/>
        <w:adjustRightInd w:val="0"/>
        <w:rPr>
          <w:rFonts w:asciiTheme="minorHAnsi" w:hAnsiTheme="minorHAnsi" w:cstheme="minorHAnsi"/>
          <w:lang w:val="en-GB"/>
        </w:rPr>
      </w:pPr>
    </w:p>
    <w:p w14:paraId="70C9B142" w14:textId="23D9EBF0" w:rsidR="00E53606" w:rsidRPr="00A74F7A" w:rsidRDefault="00E53606" w:rsidP="00E53606">
      <w:pPr>
        <w:autoSpaceDE w:val="0"/>
        <w:autoSpaceDN w:val="0"/>
        <w:adjustRightInd w:val="0"/>
        <w:rPr>
          <w:rFonts w:asciiTheme="minorHAnsi" w:hAnsiTheme="minorHAnsi" w:cstheme="minorHAnsi"/>
          <w:lang w:val="en-GB"/>
        </w:rPr>
      </w:pPr>
    </w:p>
    <w:p w14:paraId="31D56BBC" w14:textId="77777777" w:rsidR="00E53606" w:rsidRDefault="00E53606">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17C8" w14:textId="77777777" w:rsidR="001C409D" w:rsidRDefault="001C409D">
      <w:r>
        <w:separator/>
      </w:r>
    </w:p>
  </w:endnote>
  <w:endnote w:type="continuationSeparator" w:id="0">
    <w:p w14:paraId="671AE70E" w14:textId="77777777" w:rsidR="001C409D" w:rsidRDefault="001C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B523" w14:textId="77777777" w:rsidR="001C409D" w:rsidRDefault="001C409D">
      <w:r>
        <w:separator/>
      </w:r>
    </w:p>
  </w:footnote>
  <w:footnote w:type="continuationSeparator" w:id="0">
    <w:p w14:paraId="42276231" w14:textId="77777777" w:rsidR="001C409D" w:rsidRDefault="001C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20BE3"/>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D2346"/>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3606"/>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90B6E"/>
    <w:rsid w:val="00FA3CC8"/>
    <w:rsid w:val="00FA40FE"/>
    <w:rsid w:val="00FA647B"/>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1484</TotalTime>
  <Pages>39</Pages>
  <Words>10828</Words>
  <Characters>63888</Characters>
  <Application>Microsoft Office Word</Application>
  <DocSecurity>0</DocSecurity>
  <Lines>532</Lines>
  <Paragraphs>149</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103</cp:revision>
  <dcterms:created xsi:type="dcterms:W3CDTF">2024-07-26T15:32:00Z</dcterms:created>
  <dcterms:modified xsi:type="dcterms:W3CDTF">2025-08-13T14:32:00Z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