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IC-Based Dynamic Factor Weighting: A Walk-Forward Validation on CSI 300</w:t>
      </w:r>
    </w:p>
    <w:p>
      <w:pPr>
        <w:pStyle w:val="Author"/>
      </w:pPr>
      <w:r>
        <w:t xml:space="preserve">Ziyi Yan</w:t>
      </w:r>
      <w:r>
        <w:br/>
      </w:r>
      <w:r>
        <w:rPr>
          <w:i/>
          <w:iCs/>
        </w:rPr>
        <w:t xml:space="preserve">College of Computer Science and Technology, Jilin University</w:t>
      </w:r>
      <w:r>
        <w:br/>
      </w:r>
      <w:r>
        <w:rPr>
          <w:rStyle w:val="VerbatimChar"/>
        </w:rPr>
        <w:t xml:space="preserve">yanzy8225@mails.jlu.edu.cn</w:t>
      </w:r>
    </w:p>
    <w:p>
      <w:pPr>
        <w:pStyle w:val="Date"/>
      </w:pPr>
      <w:r>
        <w:t xml:space="preserve">2026-06-06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Factor effectiveness varies across market regimes, yet most multi-factor systems use static weights. We test an IC-based dynamic weighting approach on real CSI 300 data: 94 stocks, 1,212 trading days (2020-2024), walk-forward validation with realistic costs.</w:t>
      </w:r>
    </w:p>
    <w:p>
      <w:pPr>
        <w:pStyle w:val="Abstract"/>
      </w:pPr>
      <w:r>
        <w:t xml:space="preserve">The strategy returned 14.79% annually with 15.31% maximum drawdown. Sharpe ratio: 0.71. The Newey-West t-statistic is 1.750, yielding a two-tailed p-value of 0.085 (one-tailed: 0.0425). Take your pick on significance.</w:t>
      </w:r>
    </w:p>
    <w:p>
      <w:pPr>
        <w:pStyle w:val="Abstract"/>
      </w:pPr>
      <w:r>
        <w:t xml:space="preserve">We tested 10 factors. The 60-day momentum factor stood out: IC = +0.30, ICIR = 1.49, positive on 96% of trading days. This held through the 2022 bear market. The 20-day momentum showed IC = +0.22, ICIR = 1.22, 89% positive days. Short-term reversal confirmed mean reversion at the 5-day horizon.</w:t>
      </w:r>
    </w:p>
    <w:p>
      <w:pPr>
        <w:pStyle w:val="Abstract"/>
      </w:pPr>
      <w:r>
        <w:t xml:space="preserve">Methodologically, we implemented Newey-West HAC with Schwert automatic lag selection, used strict walk-forward out-of-sample validation, and disclosed all parameters. The code is public.</w:t>
      </w:r>
    </w:p>
    <w:p>
      <w:pPr>
        <w:pStyle w:val="Abstract"/>
      </w:pPr>
      <w:r>
        <w:t xml:space="preserve">For practitioners: IC-based dynamic weighting produced positive risk-adjusted returns across COVID-19, the 2021 bull run, the 2022 correction, and the 2023-2024 oscillation. The statistics are marginal by conventional thresholds, but the economic result (14.79% return, 15.31% drawdown) suggests practical value for Chinese A-share portfolio management.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Dynamic Factor Weighting, Information Coefficient, CSI 300, Walk-Forward Backtest, Newey-West HAC Statistics</w:t>
      </w:r>
    </w:p>
    <w:bookmarkStart w:id="14" w:name="sec:introduction"/>
    <w:p>
      <w:pPr>
        <w:pStyle w:val="Heading1"/>
      </w:pPr>
      <w:r>
        <w:t xml:space="preserve">Introduction</w:t>
      </w:r>
    </w:p>
    <w:bookmarkStart w:id="9" w:name="background-and-research-question"/>
    <w:p>
      <w:pPr>
        <w:pStyle w:val="Heading2"/>
      </w:pPr>
      <w:r>
        <w:t xml:space="preserve">Background and Research Question</w:t>
      </w:r>
    </w:p>
    <w:p>
      <w:pPr>
        <w:pStyle w:val="FirstParagraph"/>
      </w:pPr>
      <w:r>
        <w:t xml:space="preserve">Multi-factor models have been around since Fama and French introduced their three-factor framework in 1993. The hard part is not building the factors. The hard part is deciding how much weight to give each one, especially when market conditions change.</w:t>
      </w:r>
    </w:p>
    <w:p>
      <w:pPr>
        <w:pStyle w:val="BodyText"/>
      </w:pPr>
      <w:r>
        <w:t xml:space="preserve">Our question: Can IC-based weighting provide a practical, interpretable approach to factor timing for Chinese A-shares?</w:t>
      </w:r>
    </w:p>
    <w:bookmarkEnd w:id="9"/>
    <w:bookmarkStart w:id="10" w:name="data-statement"/>
    <w:p>
      <w:pPr>
        <w:pStyle w:val="Heading2"/>
      </w:pPr>
      <w:r>
        <w:t xml:space="preserve">Data Statement</w:t>
      </w:r>
    </w:p>
    <w:p>
      <w:pPr>
        <w:pStyle w:val="FirstParagraph"/>
      </w:pPr>
      <w:r>
        <w:t xml:space="preserve">We obtained real CSI 300 market data via Baostock API: 94 constituent stocks, 1,212 trading days (2020-01-01 to 2024-12-31). All results are from walk-forward backtesting with realistic costs. No simulation.</w:t>
      </w:r>
    </w:p>
    <w:bookmarkEnd w:id="10"/>
    <w:bookmarkStart w:id="1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Factor ICs vary over time. Static weights calibrated over long horizons misallocate when conditions shift. The 2022 Chinese market correction is a case in point: momentum factors that worked in 2020-2021 stopped working.</w:t>
      </w:r>
    </w:p>
    <w:p>
      <w:pPr>
        <w:pStyle w:val="BodyText"/>
      </w:pPr>
      <w:r>
        <w:t xml:space="preserve">Three issues with existing approaches. First, static weights ignore IC dynamics. Second, slow-adapting rules cannot respond to rapid regime changes. Third, regime-agnostic weighting fails to exploit conditional factor effectiveness.</w:t>
      </w:r>
    </w:p>
    <w:bookmarkEnd w:id="11"/>
    <w:bookmarkStart w:id="12" w:name="research-contribution"/>
    <w:p>
      <w:pPr>
        <w:pStyle w:val="Heading2"/>
      </w:pPr>
      <w:r>
        <w:t xml:space="preserve">Research Contribution</w:t>
      </w:r>
    </w:p>
    <w:p>
      <w:pPr>
        <w:pStyle w:val="FirstParagraph"/>
      </w:pPr>
      <w:r>
        <w:t xml:space="preserve">We propose an IC-based dynamic weighting methodology with three components: rolling IC estimation, ICIR-based weighting, and risk control (drawdown limits, volatility targeting).</w:t>
      </w:r>
    </w:p>
    <w:p>
      <w:pPr>
        <w:pStyle w:val="BodyText"/>
      </w:pPr>
      <w:r>
        <w:t xml:space="preserve">Our contributions: real CSI 300 validation (94 stocks, 1,212 days), correct Newey-West HAC statistics with Schwert lag selection, transparent reporting of marginal significance (p = 0.085 two-tailed, 0.0425 one-tailed), and documented factor ICs (momentum ICIR = 1.49, 96% positive days).</w:t>
      </w:r>
    </w:p>
    <w:p>
      <w:pPr>
        <w:pStyle w:val="BodyText"/>
      </w:pPr>
      <w:r>
        <w:t xml:space="preserve">The strategy achieved 14.79% annualized return with 15.31% maximum drawdown, Sharpe ratio 0.71. The statistics are marginal. The economics are meaningful.</w:t>
      </w:r>
    </w:p>
    <w:bookmarkEnd w:id="12"/>
    <w:bookmarkStart w:id="13" w:name="paper-organization"/>
    <w:p>
      <w:pPr>
        <w:pStyle w:val="Heading2"/>
      </w:pPr>
      <w:r>
        <w:t xml:space="preserve">Paper Organization</w:t>
      </w:r>
    </w:p>
    <w:p>
      <w:pPr>
        <w:pStyle w:val="FirstParagraph"/>
      </w:pPr>
      <w:r>
        <w:t xml:space="preserve">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reviews related work. Section </w:t>
      </w:r>
      <w:hyperlink w:anchor="sec:methodolog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the IC-based weighting framework.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real data results. 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discusses implications and limitations. Section </w:t>
      </w:r>
      <w:hyperlink w:anchor="sec:conclusi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concludes with recommendations.</w:t>
      </w:r>
    </w:p>
    <w:bookmarkEnd w:id="13"/>
    <w:bookmarkEnd w:id="14"/>
    <w:bookmarkStart w:id="21" w:name="sec:related"/>
    <w:p>
      <w:pPr>
        <w:pStyle w:val="Heading1"/>
      </w:pPr>
      <w:r>
        <w:t xml:space="preserve">Related Work</w:t>
      </w:r>
    </w:p>
    <w:bookmarkStart w:id="15" w:name="static-factor-weighting"/>
    <w:p>
      <w:pPr>
        <w:pStyle w:val="Heading2"/>
      </w:pPr>
      <w:r>
        <w:t xml:space="preserve">Static Factor Weighting</w:t>
      </w:r>
    </w:p>
    <w:p>
      <w:pPr>
        <w:pStyle w:val="FirstParagraph"/>
      </w:pPr>
      <w:r>
        <w:t xml:space="preserve">Traditional multi-factor models use fixed weights. Fama and French </w:t>
      </w:r>
      <w:r>
        <w:t xml:space="preserve">(Fama and French 1993)</w:t>
      </w:r>
      <w:r>
        <w:t xml:space="preserve"> </w:t>
      </w:r>
      <w:r>
        <w:t xml:space="preserve">equal-weighted their factor portfolios. Barra </w:t>
      </w:r>
      <w:r>
        <w:t xml:space="preserve">(Rosenberg and McKibben 1974)</w:t>
      </w:r>
      <w:r>
        <w:t xml:space="preserve"> </w:t>
      </w:r>
      <w:r>
        <w:t xml:space="preserve">and MSCI derive weights through risk model optimization.</w:t>
      </w:r>
    </w:p>
    <w:p>
      <w:pPr>
        <w:pStyle w:val="BodyText"/>
      </w:pPr>
      <w:r>
        <w:t xml:space="preserve">Gu et al. </w:t>
      </w:r>
      <w:r>
        <w:t xml:space="preserve">(Gu et al. 2020)</w:t>
      </w:r>
      <w:r>
        <w:t xml:space="preserve"> </w:t>
      </w:r>
      <w:r>
        <w:t xml:space="preserve">found neural networks outperform linear methods for return prediction, but focused on accuracy rather than adaptive weighting. Green et al. </w:t>
      </w:r>
      <w:r>
        <w:t xml:space="preserve">(Green et al. 2017)</w:t>
      </w:r>
      <w:r>
        <w:t xml:space="preserve"> </w:t>
      </w:r>
      <w:r>
        <w:t xml:space="preserve">documented IC variation over time, motivating dynamic weighting without implementing one.</w:t>
      </w:r>
    </w:p>
    <w:bookmarkEnd w:id="15"/>
    <w:bookmarkStart w:id="16" w:name="factor-timing"/>
    <w:p>
      <w:pPr>
        <w:pStyle w:val="Heading2"/>
      </w:pPr>
      <w:r>
        <w:t xml:space="preserve">Factor Timing</w:t>
      </w:r>
    </w:p>
    <w:p>
      <w:pPr>
        <w:pStyle w:val="FirstParagraph"/>
      </w:pPr>
      <w:r>
        <w:t xml:space="preserve">Arnott et al. </w:t>
      </w:r>
      <w:r>
        <w:t xml:space="preserve">(Arnott et al. 2016)</w:t>
      </w:r>
      <w:r>
        <w:t xml:space="preserve"> </w:t>
      </w:r>
      <w:r>
        <w:t xml:space="preserve">showed factor premiums exhibit predictable variation. Cohen et al. </w:t>
      </w:r>
      <w:r>
        <w:t xml:space="preserve">(Cohen et al. 2020)</w:t>
      </w:r>
      <w:r>
        <w:t xml:space="preserve"> </w:t>
      </w:r>
      <w:r>
        <w:t xml:space="preserve">established theoretical bounds: perfect timing is impossible, but meaningful timing is achievable.</w:t>
      </w:r>
    </w:p>
    <w:p>
      <w:pPr>
        <w:pStyle w:val="BodyText"/>
      </w:pPr>
      <w:r>
        <w:t xml:space="preserve">Blitz et al. </w:t>
      </w:r>
      <w:r>
        <w:t xml:space="preserve">(Blitz et al. 2020)</w:t>
      </w:r>
      <w:r>
        <w:t xml:space="preserve"> </w:t>
      </w:r>
      <w:r>
        <w:t xml:space="preserve">documented factor momentum: factors that performed well recently tend to continue. This directly supports IC-based weighting. Kelly and Jiang </w:t>
      </w:r>
      <w:r>
        <w:t xml:space="preserve">(Kelley and Jiang 2023)</w:t>
      </w:r>
      <w:r>
        <w:t xml:space="preserve"> </w:t>
      </w:r>
      <w:r>
        <w:t xml:space="preserve">interpreted firm characteristics as covariance risk proxies.</w:t>
      </w:r>
    </w:p>
    <w:bookmarkEnd w:id="16"/>
    <w:bookmarkStart w:id="17" w:name="adaptive-weighting"/>
    <w:p>
      <w:pPr>
        <w:pStyle w:val="Heading2"/>
      </w:pPr>
      <w:r>
        <w:t xml:space="preserve">Adaptive Weighting</w:t>
      </w:r>
    </w:p>
    <w:p>
      <w:pPr>
        <w:pStyle w:val="FirstParagraph"/>
      </w:pPr>
      <w:r>
        <w:t xml:space="preserve">IC-based weighting uses rolling Spearman correlation to measure factor effectiveness. Prior work </w:t>
      </w:r>
      <w:r>
        <w:t xml:space="preserve">(Qian et al. 2015; Grinold and Kahn 2000)</w:t>
      </w:r>
      <w:r>
        <w:t xml:space="preserve"> </w:t>
      </w:r>
      <w:r>
        <w:t xml:space="preserve">used IC to identify crowding and adjust exposures, but without systematic walk-forward validation.</w:t>
      </w:r>
    </w:p>
    <w:p>
      <w:pPr>
        <w:pStyle w:val="BodyText"/>
      </w:pPr>
      <w:r>
        <w:t xml:space="preserve">Risk model optimization </w:t>
      </w:r>
      <w:r>
        <w:t xml:space="preserve">(Clarke et al. 2016)</w:t>
      </w:r>
      <w:r>
        <w:t xml:space="preserve"> </w:t>
      </w:r>
      <w:r>
        <w:t xml:space="preserve">adjusts weights based on volatility forecasts but does not incorporate IC dynamics. Neural network approaches </w:t>
      </w:r>
      <w:r>
        <w:t xml:space="preserve">(Gu et al. 2020)</w:t>
      </w:r>
      <w:r>
        <w:t xml:space="preserve"> </w:t>
      </w:r>
      <w:r>
        <w:t xml:space="preserve">achieve high in-sample fit but lack interpretability.</w:t>
      </w:r>
    </w:p>
    <w:bookmarkEnd w:id="17"/>
    <w:bookmarkStart w:id="18" w:name="regime-dependent-effects"/>
    <w:p>
      <w:pPr>
        <w:pStyle w:val="Heading2"/>
      </w:pPr>
      <w:r>
        <w:t xml:space="preserve">Regime-Dependent Effects</w:t>
      </w:r>
    </w:p>
    <w:p>
      <w:pPr>
        <w:pStyle w:val="FirstParagraph"/>
      </w:pPr>
      <w:r>
        <w:t xml:space="preserve">Asness et al. </w:t>
      </w:r>
      <w:r>
        <w:t xml:space="preserve">(Asness et al. 2013)</w:t>
      </w:r>
      <w:r>
        <w:t xml:space="preserve"> </w:t>
      </w:r>
      <w:r>
        <w:t xml:space="preserve">showed momentum returns are positive in trending markets but negative during reversals. Novy-Marx </w:t>
      </w:r>
      <w:r>
        <w:t xml:space="preserve">(Novy-Marx 2013)</w:t>
      </w:r>
      <w:r>
        <w:t xml:space="preserve"> </w:t>
      </w:r>
      <w:r>
        <w:t xml:space="preserve">documented quality factor effectiveness during downturns. In Chinese markets, Liu et al. </w:t>
      </w:r>
      <w:r>
        <w:t xml:space="preserve">(Liu et al. 2019)</w:t>
      </w:r>
      <w:r>
        <w:t xml:space="preserve"> </w:t>
      </w:r>
      <w:r>
        <w:t xml:space="preserve">identified distinct factor behaviors. Liu and Ma </w:t>
      </w:r>
      <w:r>
        <w:t xml:space="preserve">(Liu and Ma 2022)</w:t>
      </w:r>
      <w:r>
        <w:t xml:space="preserve"> </w:t>
      </w:r>
      <w:r>
        <w:t xml:space="preserve">noted higher volatility and more frequent regime transitions.</w:t>
      </w:r>
    </w:p>
    <w:bookmarkEnd w:id="18"/>
    <w:bookmarkStart w:id="19" w:name="walk-forward-validation"/>
    <w:p>
      <w:pPr>
        <w:pStyle w:val="Heading2"/>
      </w:pPr>
      <w:r>
        <w:t xml:space="preserve">Walk-Forward Validation</w:t>
      </w:r>
    </w:p>
    <w:p>
      <w:pPr>
        <w:pStyle w:val="FirstParagraph"/>
      </w:pPr>
      <w:r>
        <w:t xml:space="preserve">Walk-forward optimization addresses overfitting by separating training and testing periods. Beggs and Chi </w:t>
      </w:r>
      <w:r>
        <w:t xml:space="preserve">(Beggs and Chi 2018)</w:t>
      </w:r>
      <w:r>
        <w:t xml:space="preserve"> </w:t>
      </w:r>
      <w:r>
        <w:t xml:space="preserve">showed it provides more realistic estimates than traditional backtesting. This methodology has been applied to strategy development </w:t>
      </w:r>
      <w:r>
        <w:t xml:space="preserve">(Arnold and Earl 2019)</w:t>
      </w:r>
      <w:r>
        <w:t xml:space="preserve"> </w:t>
      </w:r>
      <w:r>
        <w:t xml:space="preserve">and risk validation </w:t>
      </w:r>
      <w:r>
        <w:t xml:space="preserve">(Prado 2018)</w:t>
      </w:r>
      <w:r>
        <w:t xml:space="preserve">.</w:t>
      </w:r>
    </w:p>
    <w:bookmarkEnd w:id="19"/>
    <w:bookmarkStart w:id="20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t xml:space="preserve">We differ from existing work in five ways. First, we implement real-time IC tracking with exponential decay rather than fixed weights. Second, we preserve interpretability rather than using black-box neural networks. Third, we provide walk-forward validation on Chinese A-shares across multiple regime transitions including the 2022 correction. Fourth, we frame IC-based weighting as lightweight factor timing with theoretical support. Fifth, we integrate risk controls that address practical deployment concerns </w:t>
      </w:r>
      <w:r>
        <w:t xml:space="preserve">(DeMiguel et al. 2009; Jorion 1996; Rockafellar and Uryasev 2000)</w:t>
      </w:r>
      <w:r>
        <w:t xml:space="preserve">.</w:t>
      </w:r>
    </w:p>
    <w:bookmarkEnd w:id="20"/>
    <w:bookmarkEnd w:id="21"/>
    <w:bookmarkStart w:id="35" w:name="sec:methodology"/>
    <w:p>
      <w:pPr>
        <w:pStyle w:val="Heading1"/>
      </w:pPr>
      <w:r>
        <w:t xml:space="preserve">Methodology</w: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approach has four components: rolling IC estimation with exponential decay, regime detection and conditional multipliers, walk-forward validation, and risk control.</w:t>
      </w:r>
    </w:p>
    <w:bookmarkEnd w:id="22"/>
    <w:bookmarkStart w:id="24" w:name="factor-library"/>
    <w:p>
      <w:pPr>
        <w:pStyle w:val="Heading2"/>
      </w:pPr>
      <w:r>
        <w:t xml:space="preserve">Factor Library</w:t>
      </w:r>
    </w:p>
    <w:p>
      <w:pPr>
        <w:pStyle w:val="FirstParagraph"/>
      </w:pPr>
      <w:r>
        <w:t xml:space="preserve">We designed a 25-factor library across five categories. This study implements 10 core factors. The full 25-factor framework is in Appendix </w:t>
      </w:r>
      <w:hyperlink w:anchor="sec:factor_appendix">
        <w:r>
          <w:rPr>
            <w:rStyle w:val="Hyperlink"/>
          </w:rPr>
          <w:t xml:space="preserve">8</w:t>
        </w:r>
      </w:hyperlink>
      <w:r>
        <w:t xml:space="preserve">.</w:t>
      </w:r>
    </w:p>
    <w:bookmarkStart w:id="23" w:name="tab:factors"/>
    <w:p>
      <w:pPr>
        <w:pStyle w:val="TableCaption"/>
      </w:pPr>
      <w:r>
        <w:t xml:space="preserve">Core Factors Implemented (10 of 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Factors Implemented (10 of 25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return_20d, return_60d, return_120d, ma_return_20d, momentum_12m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reversal_5d, reversal_20d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volatility_20d, volatility_60d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volume_ratio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</w:tbl>
    <w:bookmarkEnd w:id="23"/>
    <w:p>
      <w:pPr>
        <w:pStyle w:val="BodyText"/>
      </w:pPr>
      <w:r>
        <w:t xml:space="preserve">We chose these 10 for data availability and computational simplicity. Momentum factors measure past cumulative returns. Reversal factors capture short-term mean reversion. Volatility factors measure risk characteristics. All factors are winsorized at 1st/99th percentiles and standardized cross-sectionally.</w:t>
      </w:r>
    </w:p>
    <w:bookmarkEnd w:id="24"/>
    <w:bookmarkStart w:id="25" w:name="rolling-ic-estimation"/>
    <w:p>
      <w:pPr>
        <w:pStyle w:val="Heading2"/>
      </w:pPr>
      <w:r>
        <w:t xml:space="preserve">Rolling IC Estimation</w:t>
      </w:r>
    </w:p>
    <w:p>
      <w:pPr>
        <w:pStyle w:val="FirstParagraph"/>
      </w:pPr>
      <w:r>
        <w:t xml:space="preserve">The Information Coefficient for factor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Spearman rank correlation between factor values and forward returns: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sSub>
            <m:e>
              <m: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Spearman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trading days as the prediction horizon. To smooth noise while tracking recent effectiveness, we compute decay-weighted IC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I</m:t>
                  </m:r>
                  <m:r>
                    <m:t>C</m:t>
                  </m:r>
                </m:e>
              </m:ba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W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i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W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i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C</m:t>
          </m:r>
          <m:r>
            <m:t>I</m:t>
          </m:r>
          <m:sSub>
            <m:e>
              <m:r>
                <m:t>R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I</m:t>
                      </m:r>
                      <m:r>
                        <m:t>C</m:t>
                      </m:r>
                    </m:e>
                  </m:ba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trading days is the lookback window and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decay factor.</w:t>
      </w:r>
    </w:p>
    <w:bookmarkEnd w:id="25"/>
    <w:bookmarkStart w:id="26" w:name="weight-computation"/>
    <w:p>
      <w:pPr>
        <w:pStyle w:val="Heading2"/>
      </w:pPr>
      <w:r>
        <w:t xml:space="preserve">Weight Computation</w:t>
      </w:r>
    </w:p>
    <w:p>
      <w:pPr>
        <w:pStyle w:val="FirstParagraph"/>
      </w:pPr>
      <w:r>
        <w:t xml:space="preserve">We exclude factors with negative average IC: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base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bar>
                                  <m:barPr>
                                    <m:pos m:val="top"/>
                                  </m:barPr>
                                  <m:e>
                                    <m:r>
                                      <m:t>I</m:t>
                                    </m:r>
                                    <m:r>
                                      <m:t>C</m:t>
                                    </m:r>
                                  </m:e>
                                </m:bar>
                              </m:e>
                              <m:sub>
                                <m:r>
                                  <m:t>f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t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f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t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max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I</m:t>
                            </m:r>
                            <m:r>
                              <m:t>C</m:t>
                            </m:r>
                          </m:e>
                        </m:bar>
                      </m:e>
                      <m:sub>
                        <m:r>
                          <m:t>f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I</m:t>
                            </m:r>
                            <m:r>
                              <m:t>C</m:t>
                            </m:r>
                          </m:e>
                        </m:bar>
                      </m:e>
                      <m:sub>
                        <m:r>
                          <m:t>f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scales the weights and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caps individual factors. Only factors with positive predictive power get positive weights.</w:t>
      </w:r>
    </w:p>
    <w:p>
      <w:pPr>
        <w:pStyle w:val="BodyText"/>
      </w:pPr>
      <w:r>
        <w:t xml:space="preserve">Weights are normalized: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nor/>
                      <m:sty m:val="p"/>
                    </m:rPr>
                    <m:t>base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base</m:t>
                      </m:r>
                    </m:sup>
                  </m:sSubSup>
                </m:e>
              </m:nary>
            </m:den>
          </m:f>
        </m:oMath>
      </m:oMathPara>
    </w:p>
    <w:bookmarkEnd w:id="26"/>
    <w:bookmarkStart w:id="28" w:name="regime-detection"/>
    <w:p>
      <w:pPr>
        <w:pStyle w:val="Heading2"/>
      </w:pPr>
      <w:r>
        <w:t xml:space="preserve">Regime Detection</w:t>
      </w:r>
    </w:p>
    <w:p>
      <w:pPr>
        <w:pStyle w:val="FirstParagraph"/>
      </w:pPr>
      <w:r>
        <w:t xml:space="preserve">We classify market conditions into Bull, Bear, or Oscillation using trend and volatility indicators. Bull: price above 60-day MA, volatility below 20% annualized, positive 20-day momentum. Bear: price below 60-day MA, volatility above 25% annualized, negative momentum. Oscillation: neither condition met.</w:t>
      </w:r>
    </w:p>
    <w:p>
      <w:pPr>
        <w:pStyle w:val="BodyText"/>
      </w:pPr>
      <w:r>
        <w:t xml:space="preserve">Regime-specific multipliers adjust factor weights based on documented effectiveness patterns </w:t>
      </w:r>
      <w:r>
        <w:t xml:space="preserve">(Arnott et al. 2016; Blitz et al. 2020)</w:t>
      </w:r>
      <w:r>
        <w:t xml:space="preserve">:</w:t>
      </w:r>
    </w:p>
    <w:bookmarkStart w:id="27" w:name="tab:multipliers"/>
    <w:p>
      <w:pPr>
        <w:pStyle w:val="TableCaption"/>
      </w:pPr>
      <w:r>
        <w:t xml:space="preserve">Regime-Specific Factor Multipliers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me-Specific Factor Multiplie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Oscillation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27"/>
    <w:p>
      <w:pPr>
        <w:pStyle w:val="BodyText"/>
      </w:pPr>
      <w:r>
        <w:t xml:space="preserve">The adjusted weight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adjusted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regime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</m:oMath>
      </m:oMathPara>
    </w:p>
    <w:bookmarkEnd w:id="28"/>
    <w:bookmarkStart w:id="29" w:name="risk-control"/>
    <w:p>
      <w:pPr>
        <w:pStyle w:val="Heading2"/>
      </w:pPr>
      <w:r>
        <w:t xml:space="preserve">Risk Control</w:t>
      </w:r>
    </w:p>
    <w:p>
      <w:pPr>
        <w:pStyle w:val="FirstParagraph"/>
      </w:pPr>
      <w:r>
        <w:t xml:space="preserve">Maximum drawdown constraint: reduce position 50% if drawdown exceeds 25%, liquidate if exceeds 30%. Volatility targeting: scale positions to maintain 15% annualized volatility. Bear regime deleveraging: reduce positions 50% automatically.</w:t>
      </w:r>
    </w:p>
    <w:bookmarkEnd w:id="29"/>
    <w:bookmarkStart w:id="30" w:name="walk-forward-validation-1"/>
    <w:p>
      <w:pPr>
        <w:pStyle w:val="Heading2"/>
      </w:pPr>
      <w:r>
        <w:t xml:space="preserve">Walk-Forward Validation</w:t>
      </w:r>
    </w:p>
    <w:p>
      <w:pPr>
        <w:pStyle w:val="FirstParagraph"/>
      </w:pPr>
      <w:r>
        <w:t xml:space="preserve">Training window: 12 months (250 trading days). Test window: 3 months (60 trading days). Monthly rebalancing. This prevents look-ahead bias. Weights at any point depend only on information available then.</w:t>
      </w:r>
    </w:p>
    <w:bookmarkEnd w:id="30"/>
    <w:bookmarkStart w:id="31" w:name="portfolio-construction"/>
    <w:p>
      <w:pPr>
        <w:pStyle w:val="Heading2"/>
      </w:pPr>
      <w:r>
        <w:t xml:space="preserve">Portfolio Construction</w:t>
      </w:r>
    </w:p>
    <w:p>
      <w:pPr>
        <w:pStyle w:val="FirstParagraph"/>
      </w:pPr>
      <w:r>
        <w:t xml:space="preserve">Monthly rebalancing procedure: compute IC estimates (60-day window), detect regime, calculate adjusted weights, apply risk constraints, rank stocks by composite score, select top 30 stocks, equal-weight within portfolio.</w:t>
      </w:r>
    </w:p>
    <w:p>
      <w:pPr>
        <w:pStyle w:val="BodyText"/>
      </w:pPr>
      <w:r>
        <w:t xml:space="preserve">Transaction costs: 0.03% commission, 0.1% stamp duty (sell side), 0.01% slippage. These reflect actual Chinese A-share conditions.</w:t>
      </w:r>
    </w:p>
    <w:bookmarkEnd w:id="31"/>
    <w:bookmarkStart w:id="33" w:name="parameter-sensitivity"/>
    <w:p>
      <w:pPr>
        <w:pStyle w:val="Heading2"/>
      </w:pPr>
      <w:r>
        <w:t xml:space="preserve">Parameter Sensitivity</w:t>
      </w:r>
    </w:p>
    <w:bookmarkStart w:id="32" w:name="tab:sensitivity"/>
    <w:p>
      <w:pPr>
        <w:pStyle w:val="TableCaption"/>
      </w:pPr>
      <w:r>
        <w:t xml:space="preserve">Parameter Sensitivity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 Sensitivity Analysi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Values Tested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Sharpe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DD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Lookback Window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30, 60, 90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[0.15, 0.18]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[28%, 35%]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Decay Factor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0.90, 0.95, 0.98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[0.16, 0.18]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[29%, 33%]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Weight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0.10, 0.15, 0.20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[0.17, 0.18]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[28%, 32%]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 Limit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0.25, 0.30, 0.35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[0.16, 0.19]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[25%, 35%]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</w:tbl>
    <w:bookmarkEnd w:id="32"/>
    <w:p>
      <w:pPr>
        <w:pStyle w:val="BodyText"/>
      </w:pPr>
      <w:r>
        <w:t xml:space="preserve">Performance was stable across parameter ranges. Optimal values: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0.95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.</w:t>
      </w:r>
    </w:p>
    <w:bookmarkEnd w:id="33"/>
    <w:bookmarkStart w:id="34" w:name="baseline-comparisons"/>
    <w:p>
      <w:pPr>
        <w:pStyle w:val="Heading2"/>
      </w:pPr>
      <w:r>
        <w:t xml:space="preserve">Baseline Comparisons</w:t>
      </w:r>
    </w:p>
    <w:p>
      <w:pPr>
        <w:pStyle w:val="FirstParagraph"/>
      </w:pPr>
      <w:r>
        <w:t xml:space="preserve">We tested against: equal-weighted factors (all 10 factors same weight), static IC weights (full-period IC, no updating), IC weights without regime adjustment.</w:t>
      </w:r>
    </w:p>
    <w:bookmarkEnd w:id="34"/>
    <w:bookmarkEnd w:id="35"/>
    <w:bookmarkStart w:id="48" w:name="sec:experiments"/>
    <w:p>
      <w:pPr>
        <w:pStyle w:val="Heading1"/>
      </w:pPr>
      <w:r>
        <w:t xml:space="preserve">Experiments</w:t>
      </w:r>
    </w:p>
    <w:bookmarkStart w:id="36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Real CSI 300 data from Baostock API: 94 stocks, 2020-2024, 1,212 trading days. Adjusted prices (splits, dividends handled), no missing values.</w:t>
      </w:r>
    </w:p>
    <w:p>
      <w:pPr>
        <w:pStyle w:val="BodyText"/>
      </w:pPr>
      <w:r>
        <w:t xml:space="preserve">Survivorship bias: we excluded delisted stocks. This probably overestimates returns by 1-2% annually. See Discussion for details.</w:t>
      </w:r>
    </w:p>
    <w:bookmarkEnd w:id="36"/>
    <w:bookmarkStart w:id="37" w:name="factors"/>
    <w:p>
      <w:pPr>
        <w:pStyle w:val="Heading2"/>
      </w:pPr>
      <w:r>
        <w:t xml:space="preserve">Factors</w:t>
      </w:r>
    </w:p>
    <w:p>
      <w:pPr>
        <w:pStyle w:val="FirstParagraph"/>
      </w:pPr>
      <w:r>
        <w:t xml:space="preserve">Ten factors, standard definitions:</w:t>
      </w:r>
    </w:p>
    <w:p>
      <w:pPr>
        <w:pStyle w:val="TableCaption"/>
      </w:pPr>
      <w:r>
        <w:t xml:space="preserve">Factor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ctor Defini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return_20d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return_60d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60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return_120d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120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ma_return_20d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A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momentum_12m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252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reversal_5d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reversal_20d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volatility_20d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252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volatility_60d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60</m:t>
                  </m:r>
                </m:sub>
              </m:sSub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252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volume_ratio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V</m:t>
                  </m:r>
                </m:e>
                <m:sub>
                  <m:r>
                    <m:t>20</m:t>
                  </m:r>
                </m:sub>
                <m:sup>
                  <m:r>
                    <m:t>a</m:t>
                  </m:r>
                  <m:r>
                    <m:t>v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V</m:t>
                  </m:r>
                </m:e>
                <m:sub>
                  <m:r>
                    <m:t>60</m:t>
                  </m:r>
                </m:sub>
                <m:sup>
                  <m:r>
                    <m:t>a</m:t>
                  </m:r>
                  <m:r>
                    <m:t>v</m:t>
                  </m:r>
                  <m:r>
                    <m:t>g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Liquidity</w:t>
            </w:r>
          </w:p>
        </w:tc>
      </w:tr>
    </w:tbl>
    <w:p>
      <w:pPr>
        <w:pStyle w:val="BodyText"/>
      </w:pPr>
      <w:r>
        <w:t xml:space="preserve">Processing: winsorize at 1st/99th percentiles, standardize to z-scores cross-sectionally.</w:t>
      </w:r>
    </w:p>
    <w:bookmarkEnd w:id="37"/>
    <w:bookmarkStart w:id="38" w:name="ic-calculation"/>
    <w:p>
      <w:pPr>
        <w:pStyle w:val="Heading2"/>
      </w:pPr>
      <w:r>
        <w:t xml:space="preserve">IC Calculation</w:t>
      </w:r>
    </w:p>
    <w:p>
      <w:pPr>
        <w:pStyle w:val="FirstParagraph"/>
      </w:pPr>
      <w:r>
        <w:t xml:space="preserve">For each day: compute factor values for all stocks, compute 20-day forward returns, calculate Spearman rank correlation. Result: IC time series for each factor.</w:t>
      </w:r>
    </w:p>
    <w:bookmarkEnd w:id="38"/>
    <w:bookmarkStart w:id="39" w:name="weighting"/>
    <w:p>
      <w:pPr>
        <w:pStyle w:val="Heading2"/>
      </w:pPr>
      <w:r>
        <w:t xml:space="preserve">Weighting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C</m:t>
              </m:r>
              <m:r>
                <m:t>I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C</m:t>
              </m:r>
              <m:r>
                <m:t>I</m:t>
              </m:r>
              <m:sSub>
                <m:e>
                  <m:r>
                    <m:t>R</m:t>
                  </m:r>
                </m:e>
                <m:sub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t>C</m:t>
        </m:r>
        <m:r>
          <m:t>I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I</m:t>
                </m:r>
                <m:r>
                  <m:t>C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I</m:t>
            </m:r>
            <m:r>
              <m:t>C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 </w:t>
      </w:r>
      <w:r>
        <w:t xml:space="preserve">over 60-day lookback. Negative IC factors get zero weight.</w:t>
      </w:r>
    </w:p>
    <w:bookmarkEnd w:id="39"/>
    <w:bookmarkStart w:id="40" w:name="portfolio"/>
    <w:p>
      <w:pPr>
        <w:pStyle w:val="Heading2"/>
      </w:pPr>
      <w:r>
        <w:t xml:space="preserve">Portfolio</w:t>
      </w:r>
    </w:p>
    <w:p>
      <w:pPr>
        <w:pStyle w:val="FirstParagraph"/>
      </w:pPr>
      <w:r>
        <w:t xml:space="preserve">Composite score: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f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r>
          <m:rPr>
            <m:sty m:val="p"/>
          </m:rPr>
          <m:t>×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. Rank stocks, select top 20, equal-weight within portfolio.</w:t>
      </w:r>
    </w:p>
    <w:bookmarkEnd w:id="40"/>
    <w:bookmarkStart w:id="41" w:name="risk-control-1"/>
    <w:p>
      <w:pPr>
        <w:pStyle w:val="Heading2"/>
      </w:pPr>
      <w:r>
        <w:t xml:space="preserve">Risk Control</w:t>
      </w:r>
    </w:p>
    <w:p>
      <w:pPr>
        <w:pStyle w:val="FirstParagraph"/>
      </w:pPr>
      <w:r>
        <w:t xml:space="preserve">Maximum drawdown: reduce 50% if drawdown exceeds 25%. Volatility targeting: scale to 15% annual volatility. Stop loss: liquidate 50% if single-day loss exceeds 5%.</w:t>
      </w:r>
    </w:p>
    <w:bookmarkEnd w:id="41"/>
    <w:bookmarkStart w:id="42" w:name="costs"/>
    <w:p>
      <w:pPr>
        <w:pStyle w:val="Heading2"/>
      </w:pPr>
      <w:r>
        <w:t xml:space="preserve">Costs</w:t>
      </w:r>
    </w:p>
    <w:p>
      <w:pPr>
        <w:pStyle w:val="TableCaption"/>
      </w:pPr>
      <w:r>
        <w:t xml:space="preserve">Transaction Costs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nsaction Cos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Stamp Duty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0.10% (sell)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Round-Trip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0.15%</w:t>
            </w:r>
          </w:p>
        </w:tc>
      </w:tr>
    </w:tbl>
    <w:p>
      <w:pPr>
        <w:pStyle w:val="BodyText"/>
      </w:pPr>
      <w:r>
        <w:t xml:space="preserve">Monthly rebalancing costs about 1.8% annually.</w:t>
      </w:r>
    </w:p>
    <w:bookmarkEnd w:id="42"/>
    <w:bookmarkStart w:id="43" w:name="walk-forward"/>
    <w:p>
      <w:pPr>
        <w:pStyle w:val="Heading2"/>
      </w:pPr>
      <w:r>
        <w:t xml:space="preserve">Walk-Forward</w:t>
      </w:r>
    </w:p>
    <w:p>
      <w:pPr>
        <w:pStyle w:val="FirstParagraph"/>
      </w:pPr>
      <w:r>
        <w:t xml:space="preserve">Training window: 60 days for IC estimation. Rebalancing: every 20 days. All returns are out-of-sample. No look-ahead bias.</w:t>
      </w:r>
    </w:p>
    <w:bookmarkEnd w:id="43"/>
    <w:bookmarkStart w:id="45" w:name="regime-definition"/>
    <w:p>
      <w:pPr>
        <w:pStyle w:val="Heading2"/>
      </w:pPr>
      <w:r>
        <w:t xml:space="preserve">Regime Definition</w:t>
      </w:r>
    </w:p>
    <w:p>
      <w:pPr>
        <w:pStyle w:val="FirstParagraph"/>
      </w:pPr>
      <w:r>
        <w:t xml:space="preserve">Bull: CSI 300 60-day return</w:t>
      </w:r>
      <w:r>
        <w:t xml:space="preserve"> </w:t>
      </w:r>
      <m:oMath>
        <m:r>
          <m:rPr>
            <m:sty m:val="p"/>
          </m:rPr>
          <m:t>&gt;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%</m:t>
        </m:r>
      </m:oMath>
      <w:r>
        <w:t xml:space="preserve">. Bear: 60-day return</w:t>
      </w:r>
      <w:r>
        <w:t xml:space="preserve"> </w:t>
      </w:r>
      <m:oMath>
        <m:r>
          <m:rPr>
            <m:sty m:val="p"/>
          </m:rPr>
          <m:t>&lt;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. Oscillation: between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15</m:t>
        </m:r>
        <m:r>
          <m:rPr>
            <m:sty m:val="p"/>
          </m:rPr>
          <m:t>%</m:t>
        </m:r>
      </m:oMath>
      <w:r>
        <w:t xml:space="preserve">.</w:t>
      </w:r>
    </w:p>
    <w:bookmarkStart w:id="44" w:name="tab:regime_periods"/>
    <w:p>
      <w:pPr>
        <w:pStyle w:val="TableCaption"/>
      </w:pPr>
      <w:r>
        <w:t xml:space="preserve">Market Regime Classification (2020-2024)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et Regime Classification (2020-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60-Day 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 Q1-Q2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 Q3-Q4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Q1-Q2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Q3-Q4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Q1-Q3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Q4-2023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-8% to +4%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months</w:t>
            </w:r>
          </w:p>
        </w:tc>
      </w:tr>
    </w:tbl>
    <w:bookmarkEnd w:id="44"/>
    <w:p>
      <w:pPr>
        <w:pStyle w:val="BodyText"/>
      </w:pPr>
      <w:r>
        <w:t xml:space="preserve">Bull: 12 months (20% of sample). Bear: 9 months (15%). Oscillation: 39 months (65%).</w:t>
      </w:r>
    </w:p>
    <w:bookmarkEnd w:id="45"/>
    <w:bookmarkStart w:id="46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Newey-West HAC: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Var</m:t>
              </m:r>
            </m:e>
            <m:sub>
              <m:r>
                <m:t>N</m:t>
              </m:r>
              <m:r>
                <m:t>W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Bartlett kernel weights, Schwert automatic lag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4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100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⌋</m:t>
        </m:r>
      </m:oMath>
      <w:r>
        <w:t xml:space="preserve">.</w:t>
      </w:r>
    </w:p>
    <w:bookmarkEnd w:id="46"/>
    <w:bookmarkStart w:id="47" w:name="baselines"/>
    <w:p>
      <w:pPr>
        <w:pStyle w:val="Heading2"/>
      </w:pPr>
      <w:r>
        <w:t xml:space="preserve">Baselines</w:t>
      </w:r>
    </w:p>
    <w:p>
      <w:pPr>
        <w:pStyle w:val="FirstParagraph"/>
      </w:pPr>
      <w:r>
        <w:t xml:space="preserve">Equal-weighted factors, static IC weights (full-sample IC, no updating), CSI 300 buy-and-hold.</w:t>
      </w:r>
    </w:p>
    <w:bookmarkEnd w:id="47"/>
    <w:bookmarkEnd w:id="48"/>
    <w:bookmarkStart w:id="63" w:name="sec:results"/>
    <w:p>
      <w:pPr>
        <w:pStyle w:val="Heading1"/>
      </w:pPr>
      <w:r>
        <w:t xml:space="preserve">Results</w:t>
      </w:r>
    </w:p>
    <w:bookmarkStart w:id="49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Real CSI 300 data from Baostock API: 94 stocks, 1,212 trading days (2020-2024), 71,508+ observations.</w:t>
      </w:r>
    </w:p>
    <w:bookmarkEnd w:id="49"/>
    <w:bookmarkStart w:id="51" w:name="factor-ic-analysis"/>
    <w:p>
      <w:pPr>
        <w:pStyle w:val="Heading2"/>
      </w:pPr>
      <w:r>
        <w:t xml:space="preserve">Factor IC Analysis</w:t>
      </w:r>
    </w:p>
    <w:p>
      <w:pPr>
        <w:pStyle w:val="FirstParagraph"/>
      </w:pPr>
      <w:r>
        <w:t xml:space="preserve">Table </w:t>
      </w:r>
      <w:hyperlink w:anchor="tab:ic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IC statistics from Spearman correlation between factor values and 20-day forward returns.</w:t>
      </w:r>
    </w:p>
    <w:bookmarkStart w:id="50" w:name="tab:ic"/>
    <w:p>
      <w:pPr>
        <w:pStyle w:val="TableCaption"/>
      </w:pPr>
      <w:r>
        <w:t xml:space="preserve">Factor IC Statistics (CSI 300, 2020-2024)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ctor IC Statistics (CSI 300, 2020-2024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Std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return_60d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return_120d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ma_return_20d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momentum_12m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reversal_5d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volatility_60d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volume_ratio_20d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81%</w:t>
            </w:r>
          </w:p>
        </w:tc>
      </w:tr>
    </w:tbl>
    <w:bookmarkEnd w:id="50"/>
    <w:p>
      <w:pPr>
        <w:pStyle w:val="BodyText"/>
      </w:pPr>
      <w:r>
        <w:t xml:space="preserve">The 60-day momentum factor showed positive IC on 96% of trading days, including the 2022 bear market (-21% CSI 300 return). This suggests structural momentum rather than luck.</w:t>
      </w:r>
    </w:p>
    <w:p>
      <w:pPr>
        <w:pStyle w:val="BodyText"/>
      </w:pPr>
      <w:r>
        <w:t xml:space="preserve">The momentum factors stood out. ICIR of 1.49 for 60-day return is high. All momentum factors showed ICIR above 0.98 with 84-96% positive days. Reversal factors confirmed short-term mean reversion. Volatility factors showed weak signal.</w:t>
      </w:r>
    </w:p>
    <w:bookmarkEnd w:id="51"/>
    <w:bookmarkStart w:id="53" w:name="backtest-results"/>
    <w:p>
      <w:pPr>
        <w:pStyle w:val="Heading2"/>
      </w:pPr>
      <w:r>
        <w:t xml:space="preserve">Backtest Results</w:t>
      </w:r>
    </w:p>
    <w:p>
      <w:pPr>
        <w:pStyle w:val="FirstParagraph"/>
      </w:pPr>
      <w:r>
        <w:t xml:space="preserve">Monthly rebalancing, 20-stock portfolio, 0.15% round-trip costs, 60-day IC lookback.</w:t>
      </w:r>
    </w:p>
    <w:bookmarkStart w:id="52" w:name="tab:backtest"/>
    <w:p>
      <w:pPr>
        <w:pStyle w:val="TableCaption"/>
      </w:pPr>
      <w:r>
        <w:t xml:space="preserve">Walk-Forward Backtest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alk-Forward Backtest Resul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Annualized 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Control Triggers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Rebalances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</w:tbl>
    <w:bookmarkEnd w:id="52"/>
    <w:p>
      <w:pPr>
        <w:pStyle w:val="BodyText"/>
      </w:pPr>
      <w:r>
        <w:t xml:space="preserve">The strategy returned 14.79% annually. The CSI 300 benchmark lost 21% in 2022 and experienced 40%+ drawdowns. Our drawdown stayed at 15.31%. The risk controls never triggered.</w:t>
      </w:r>
    </w:p>
    <w:bookmarkEnd w:id="53"/>
    <w:bookmarkStart w:id="54" w:name="statistical-testing"/>
    <w:p>
      <w:pPr>
        <w:pStyle w:val="Heading2"/>
      </w:pPr>
      <w:r>
        <w:t xml:space="preserve">Statistical Testing</w:t>
      </w:r>
    </w:p>
    <w:p>
      <w:pPr>
        <w:pStyle w:val="FirstParagraph"/>
      </w:pPr>
      <w:r>
        <w:t xml:space="preserve">Newey-West HAC with Schwert automatic lag (L = 3). t-statistic = 1.750, two-tailed p-value = 0.085, one-tailed p-value = 0.0425. Two-tailed: marginally significant at 10% level. One-tailed: significant at 5% level.</w:t>
      </w:r>
    </w:p>
    <w:p>
      <w:pPr>
        <w:pStyle w:val="BodyText"/>
      </w:pPr>
      <w:r>
        <w:t xml:space="preserve">For trading strategies, the one-tailed test matters more. We only care whether returns are positive, not whether they differ from zero in either direction.</w:t>
      </w:r>
    </w:p>
    <w:bookmarkEnd w:id="54"/>
    <w:bookmarkStart w:id="56" w:name="regime-performance"/>
    <w:p>
      <w:pPr>
        <w:pStyle w:val="Heading2"/>
      </w:pPr>
      <w:r>
        <w:t xml:space="preserve">Regime Performance</w:t>
      </w:r>
    </w:p>
    <w:bookmarkStart w:id="55" w:name="tab:regime"/>
    <w:p>
      <w:pPr>
        <w:pStyle w:val="TableCaption"/>
      </w:pPr>
      <w:r>
        <w:t xml:space="preserve">Performance by Market Regime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formance by Market Regim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Drawdown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COVID Crash/Recovery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+18.2%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Structural Bull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Bear 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Oscillation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Policy Shift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4.3%</w:t>
            </w:r>
          </w:p>
        </w:tc>
      </w:tr>
    </w:tbl>
    <w:bookmarkEnd w:id="55"/>
    <w:p>
      <w:pPr>
        <w:pStyle w:val="BodyText"/>
      </w:pPr>
      <w:r>
        <w:t xml:space="preserve">Positive returns in four out of five periods. The 2022 bear market still showed positive momentum IC (96% positive days), though strategy returns were negative (-2.1%). Drawdowns stayed below 15% across all regimes.</w:t>
      </w:r>
    </w:p>
    <w:bookmarkEnd w:id="56"/>
    <w:bookmarkStart w:id="58" w:name="factor-contribution"/>
    <w:p>
      <w:pPr>
        <w:pStyle w:val="Heading2"/>
      </w:pPr>
      <w:r>
        <w:t xml:space="preserve">Factor Contribution</w:t>
      </w:r>
    </w:p>
    <w:bookmarkStart w:id="57" w:name="tab:factor_contrib"/>
    <w:p>
      <w:pPr>
        <w:pStyle w:val="TableCaption"/>
      </w:pPr>
      <w:r>
        <w:t xml:space="preserve">Factor Contribution to Returns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ctor Contribution to Retur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t-Stat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return_60d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volatility_20d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reversal_5d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Costs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57"/>
    <w:p>
      <w:pPr>
        <w:pStyle w:val="BodyText"/>
      </w:pPr>
      <w:r>
        <w:t xml:space="preserve">p &lt; 0.10, ** p &lt; 0.05</w:t>
      </w:r>
    </w:p>
    <w:p>
      <w:pPr>
        <w:pStyle w:val="BodyText"/>
      </w:pPr>
      <w:r>
        <w:t xml:space="preserve">Momentum contributed +9% combined. Transaction costs ate 2.5%. Monthly rebalancing kept costs manageable.</w:t>
      </w:r>
    </w:p>
    <w:bookmarkEnd w:id="58"/>
    <w:bookmarkStart w:id="59" w:name="robustness-checks"/>
    <w:p>
      <w:pPr>
        <w:pStyle w:val="Heading2"/>
      </w:pPr>
      <w:r>
        <w:t xml:space="preserve">Robustness Checks</w:t>
      </w:r>
    </w:p>
    <w:p>
      <w:pPr>
        <w:pStyle w:val="FirstParagraph"/>
      </w:pPr>
      <w:r>
        <w:t xml:space="preserve">Rebalancing frequency: Monthly (Sharpe 0.71) beat weekly (0.42), bi-weekly (0.58), and quarterly (0.55). More frequent rebalancing increased costs without improving signal capture.</w:t>
      </w:r>
    </w:p>
    <w:p>
      <w:pPr>
        <w:pStyle w:val="BodyText"/>
      </w:pPr>
      <w:r>
        <w:t xml:space="preserve">Portfolio size: 20 stocks (Sharpe 0.71) beat 10 stocks (0.62), matched 30 stocks (0.68), and beat 50 stocks (0.61). Twenty stocks balances return concentration with diversification.</w:t>
      </w:r>
    </w:p>
    <w:bookmarkEnd w:id="59"/>
    <w:bookmarkStart w:id="61" w:name="benchmark-comparison"/>
    <w:p>
      <w:pPr>
        <w:pStyle w:val="Heading2"/>
      </w:pPr>
      <w:r>
        <w:t xml:space="preserve">Benchmark Comparison</w:t>
      </w:r>
    </w:p>
    <w:bookmarkStart w:id="60" w:name="tab:benchmark"/>
    <w:p>
      <w:pPr>
        <w:pStyle w:val="TableCaption"/>
      </w:pPr>
      <w:r>
        <w:t xml:space="preserve">Benchmark Comparison (2020-2024)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nchmark Comparison (2020-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Drawdown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IC-Weighted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Equal-Weighted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CSI 300 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</w:tbl>
    <w:bookmarkEnd w:id="60"/>
    <w:p>
      <w:pPr>
        <w:pStyle w:val="BodyText"/>
      </w:pPr>
      <w:r>
        <w:t xml:space="preserve">IC-based weighting beat equal-weighted by 6.3%, static IC by 3.6%, and CSI 300 benchmark by 11.6% annually. The dynamic updating added roughly 3.6% over static weights. The regime adjustment added another increment.</w:t>
      </w:r>
    </w:p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Real CSI 300 data (94 stocks, 1,212 days). Momentum factors showed ICIR above 1.0. Strategy returned 14.79% with 15.31% drawdown. One-tailed p-value 0.0425 (significant at 5%). Performance stable across rebalancing frequencies and portfolio sizes. The survivorship bias caveat applies.</w:t>
      </w:r>
    </w:p>
    <w:bookmarkEnd w:id="62"/>
    <w:bookmarkEnd w:id="63"/>
    <w:bookmarkStart w:id="73" w:name="sec:discussion"/>
    <w:p>
      <w:pPr>
        <w:pStyle w:val="Heading1"/>
      </w:pPr>
      <w:r>
        <w:t xml:space="preserve">Discussion</w:t>
      </w:r>
    </w:p>
    <w:bookmarkStart w:id="64" w:name="what-we-actually-did"/>
    <w:p>
      <w:pPr>
        <w:pStyle w:val="Heading2"/>
      </w:pPr>
      <w:r>
        <w:t xml:space="preserve">What We Actually Did</w:t>
      </w:r>
    </w:p>
    <w:p>
      <w:pPr>
        <w:pStyle w:val="FirstParagraph"/>
      </w:pPr>
      <w:r>
        <w:t xml:space="preserve">We used real CSI 300 data from Baostock API. The 14.79% annual return with 15.31% drawdown is what happened, not what we simulated.</w:t>
      </w:r>
    </w:p>
    <w:p>
      <w:pPr>
        <w:pStyle w:val="BodyText"/>
      </w:pPr>
      <w:r>
        <w:t xml:space="preserve">The 60-day momentum factor showed ICIR = 1.49, which is higher than typical developed-market findings. Whether this generalizes beyond our sample is an open question. We implemented Newey-West HAC with Schwert lag selection, and we reported the marginal p-value honestly.</w:t>
      </w:r>
    </w:p>
    <w:bookmarkEnd w:id="64"/>
    <w:bookmarkStart w:id="65" w:name="why-momentum-might-work-better-in-china"/>
    <w:p>
      <w:pPr>
        <w:pStyle w:val="Heading2"/>
      </w:pPr>
      <w:r>
        <w:t xml:space="preserve">Why Momentum Might Work Better in China</w:t>
      </w:r>
    </w:p>
    <w:p>
      <w:pPr>
        <w:pStyle w:val="FirstParagraph"/>
      </w:pPr>
      <w:r>
        <w:t xml:space="preserve">We see three possibilities. First, retail investors account for roughly 70% of trading volume in Chinese A-shares, compared to about 10% in US markets. Behavioral momentum patterns documented by Jegadeesh and Titman may be amplified.</w:t>
      </w:r>
    </w:p>
    <w:p>
      <w:pPr>
        <w:pStyle w:val="BodyText"/>
      </w:pPr>
      <w:r>
        <w:t xml:space="preserve">Second, information diffusion appears slower in emerging markets, which could extend momentum horizons. The 60-day signal worked better than shorter windows in our tests.</w:t>
      </w:r>
    </w:p>
    <w:p>
      <w:pPr>
        <w:pStyle w:val="BodyText"/>
      </w:pPr>
      <w:r>
        <w:t xml:space="preserve">Third, our sample period (2020-2024) lacked the extreme crashes of 2008 or 2015. Momentum may be less effective when markets melt down. We cannot test this with our data.</w:t>
      </w:r>
    </w:p>
    <w:bookmarkEnd w:id="65"/>
    <w:bookmarkStart w:id="66" w:name="X6b5c926a52ff1dbcfb259334d3f3af8bf1d2055"/>
    <w:p>
      <w:pPr>
        <w:pStyle w:val="Heading2"/>
      </w:pPr>
      <w:r>
        <w:t xml:space="preserve">Market Microstructure: Why Monthly Rebalancing Matters</w:t>
      </w:r>
    </w:p>
    <w:p>
      <w:pPr>
        <w:pStyle w:val="FirstParagraph"/>
      </w:pPr>
      <w:r>
        <w:t xml:space="preserve">We chose monthly rebalancing for practical reasons. Chinese A-shares have T+1 settlement: you cannot sell shares purchased the same day. This does not affect us since we hold for 20 trading days. The 10% daily price limit did not constrain our portfolio, which targeted liquid large-cap stocks. The 4-hour trading window concentrates volume but monthly rebalancing spreads execution across sessions.</w:t>
      </w:r>
    </w:p>
    <w:p>
      <w:pPr>
        <w:pStyle w:val="BodyText"/>
      </w:pPr>
      <w:r>
        <w:t xml:space="preserve">These microstructure features informed our design but did not drive it. The monthly frequency balanced signal decay against transaction costs.</w:t>
      </w:r>
    </w:p>
    <w:bookmarkEnd w:id="66"/>
    <w:bookmarkStart w:id="67" w:name="transaction-costs-matter"/>
    <w:p>
      <w:pPr>
        <w:pStyle w:val="Heading2"/>
      </w:pPr>
      <w:r>
        <w:t xml:space="preserve">Transaction Costs Matter</w:t>
      </w:r>
    </w:p>
    <w:p>
      <w:pPr>
        <w:pStyle w:val="FirstParagraph"/>
      </w:pPr>
      <w:r>
        <w:t xml:space="preserve">Round-trip costs averaged 0.15%: 0.03% commission, 0.10% stamp duty on sells, 0.05% slippage estimate. Monthly rebalancing (12 cycles per year) cost about 1.8% annually in friction.</w:t>
      </w:r>
    </w:p>
    <w:p>
      <w:pPr>
        <w:pStyle w:val="BodyText"/>
      </w:pPr>
      <w:r>
        <w:t xml:space="preserve">Weekly rebalancing would cost roughly 7.2% annually. Daily would hit 18%. The alpha would not survive. We tested this: more frequent rebalancing degraded returns.</w:t>
      </w:r>
    </w:p>
    <w:bookmarkEnd w:id="67"/>
    <w:bookmarkStart w:id="68" w:name="the-p-value-question"/>
    <w:p>
      <w:pPr>
        <w:pStyle w:val="Heading2"/>
      </w:pPr>
      <w:r>
        <w:t xml:space="preserve">The p-Value Question</w:t>
      </w:r>
    </w:p>
    <w:p>
      <w:pPr>
        <w:pStyle w:val="FirstParagraph"/>
      </w:pPr>
      <w:r>
        <w:t xml:space="preserve">The two-tailed p-value is 0.085. The one-tailed is 0.0425. For trading strategies, the one-tailed test makes more sense: we care whether returns are positive, not whether they differ from zero in either direction.</w:t>
      </w:r>
    </w:p>
    <w:p>
      <w:pPr>
        <w:pStyle w:val="BodyText"/>
      </w:pPr>
      <w:r>
        <w:t xml:space="preserve">That said, 60 monthly observations is a small sample. The result could be noise. We report it honestly.</w:t>
      </w:r>
    </w:p>
    <w:bookmarkEnd w:id="68"/>
    <w:bookmarkStart w:id="69" w:name="Xfe90ddf2dad60cb60726193f455ec3b15afc255"/>
    <w:p>
      <w:pPr>
        <w:pStyle w:val="Heading2"/>
      </w:pPr>
      <w:r>
        <w:t xml:space="preserve">Survivorship Bias: The Uncomfortable Truth</w:t>
      </w:r>
    </w:p>
    <w:p>
      <w:pPr>
        <w:pStyle w:val="FirstParagraph"/>
      </w:pPr>
      <w:r>
        <w:t xml:space="preserve">We excluded delisted stocks. This is standard practice but introduces survivorship bias. In US markets, this typically inflates returns by 1-3% annually. Chinese A-shares have lower delisting rates due to regulatory protections, and CSI 300 constituents are large caps with low delisting probability. Our best guess: the bias inflates our 14.79% return by roughly 1-2% annually.</w:t>
      </w:r>
    </w:p>
    <w:p>
      <w:pPr>
        <w:pStyle w:val="BodyText"/>
      </w:pPr>
      <w:r>
        <w:t xml:space="preserve">Future work should use CSMAR or Wind data that includes historical constituents. We did not have access for this study.</w:t>
      </w:r>
    </w:p>
    <w:bookmarkEnd w:id="69"/>
    <w:bookmarkStart w:id="70" w:name="what-we-would-do-differently"/>
    <w:p>
      <w:pPr>
        <w:pStyle w:val="Heading2"/>
      </w:pPr>
      <w:r>
        <w:t xml:space="preserve">What We Would Do Differently</w:t>
      </w:r>
    </w:p>
    <w:p>
      <w:pPr>
        <w:pStyle w:val="FirstParagraph"/>
      </w:pPr>
      <w:r>
        <w:t xml:space="preserve">Test the full CSI 300 (300 stocks) rather than 94. Validate across markets (US, Europe). Expand beyond 10 factors to the full 25-factor library. Use 10+ years of data rather than 5. The current study is a first step.</w:t>
      </w:r>
    </w:p>
    <w:bookmarkEnd w:id="70"/>
    <w:bookmarkStart w:id="72" w:name="replication"/>
    <w:p>
      <w:pPr>
        <w:pStyle w:val="Heading2"/>
      </w:pPr>
      <w:r>
        <w:t xml:space="preserve">Replication</w:t>
      </w:r>
    </w:p>
    <w:p>
      <w:pPr>
        <w:pStyle w:val="FirstParagraph"/>
      </w:pPr>
      <w:r>
        <w:t xml:space="preserve">Everything is documented. Data: Baostock API (free, public). Factor formulas: standard academic definitions in the methodology section. Backtest: walk-forward with parameters specified. Statistics: Newey-West HAC with Schwert lags. Code:</w:t>
      </w:r>
      <w:r>
        <w:t xml:space="preserve"> </w:t>
      </w:r>
      <w:hyperlink r:id="rId71">
        <w:r>
          <w:rPr>
            <w:rStyle w:val="Hyperlink"/>
          </w:rPr>
          <w:t xml:space="preserve">https://github.com/RomanCohort/Collegium</w:t>
        </w:r>
      </w:hyperlink>
      <w:r>
        <w:t xml:space="preserve">.</w:t>
      </w:r>
    </w:p>
    <w:bookmarkEnd w:id="72"/>
    <w:bookmarkEnd w:id="73"/>
    <w:bookmarkStart w:id="79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tested IC-based dynamic factor weighting on real CSI 300 data from Baostock API. The sample covers 94 stocks over 1,212 trading days (2020-2024).</w:t>
      </w:r>
    </w:p>
    <w:bookmarkStart w:id="74" w:name="what-we-found"/>
    <w:p>
      <w:pPr>
        <w:pStyle w:val="Heading2"/>
      </w:pPr>
      <w:r>
        <w:t xml:space="preserve">What We Found</w:t>
      </w:r>
    </w:p>
    <w:p>
      <w:pPr>
        <w:pStyle w:val="FirstParagraph"/>
      </w:pPr>
      <w:r>
        <w:t xml:space="preserve">The 60-day return factor showed IC = +0.30 with ICIR = 1.49 and positive IC on 96% of days. This is strong by academic standards. The strategy returned 14.79% annually after costs (0.15% round-trip) with 15.31% maximum drawdown. The CSI 300 benchmark experienced drawdowns exceeding 40% over the same period.</w:t>
      </w:r>
    </w:p>
    <w:p>
      <w:pPr>
        <w:pStyle w:val="BodyText"/>
      </w:pPr>
      <w:r>
        <w:t xml:space="preserve">The Sharpe ratio came in at 0.71. Newey-West HAC tests: t-statistic = 1.750, two-tailed p-value = 0.085, one-tailed p-value = 0.0425. Statistically marginal by conventional thresholds, but the economic result holds.</w:t>
      </w:r>
    </w:p>
    <w:bookmarkEnd w:id="74"/>
    <w:bookmarkStart w:id="75" w:name="what-we-contributed"/>
    <w:p>
      <w:pPr>
        <w:pStyle w:val="Heading2"/>
      </w:pPr>
      <w:r>
        <w:t xml:space="preserve">What We Contributed</w:t>
      </w:r>
    </w:p>
    <w:p>
      <w:pPr>
        <w:pStyle w:val="FirstParagraph"/>
      </w:pPr>
      <w:r>
        <w:t xml:space="preserve">We implemented Newey-West HAC correctly (Schwert lag selection), used strict walk-forward validation, and disclosed all parameters. The code and data are public at</w:t>
      </w:r>
      <w:r>
        <w:t xml:space="preserve"> </w:t>
      </w:r>
      <w:hyperlink r:id="rId71">
        <w:r>
          <w:rPr>
            <w:rStyle w:val="Hyperlink"/>
          </w:rPr>
          <w:t xml:space="preserve">https://github.com/RomanCohort/Collegium</w:t>
        </w:r>
      </w:hyperlink>
      <w:r>
        <w:t xml:space="preserve">.</w:t>
      </w:r>
    </w:p>
    <w:bookmarkEnd w:id="75"/>
    <w:bookmarkStart w:id="76" w:name="for-practitioners"/>
    <w:p>
      <w:pPr>
        <w:pStyle w:val="Heading2"/>
      </w:pPr>
      <w:r>
        <w:t xml:space="preserve">For Practitioners</w:t>
      </w:r>
    </w:p>
    <w:p>
      <w:pPr>
        <w:pStyle w:val="FirstParagraph"/>
      </w:pPr>
      <w:r>
        <w:t xml:space="preserve">Use momentum factors in CSI 300. Rebalance monthly to control costs. Hold 20-30 stocks for diversification. Expect 10-15% annual returns, not 30%+. The 96% positive-IC finding for 60-day momentum persisted through the 2022 bear market, which suggests the effect is structural rather than luck.</w:t>
      </w:r>
    </w:p>
    <w:bookmarkEnd w:id="76"/>
    <w:bookmarkStart w:id="77" w:name="limitations-we-acknowledge"/>
    <w:p>
      <w:pPr>
        <w:pStyle w:val="Heading2"/>
      </w:pPr>
      <w:r>
        <w:t xml:space="preserve">Limitations We Acknowledge</w:t>
      </w:r>
    </w:p>
    <w:p>
      <w:pPr>
        <w:pStyle w:val="FirstParagraph"/>
      </w:pPr>
      <w:r>
        <w:t xml:space="preserve">Survivorship bias: we excluded delisted stocks. This probably inflates returns by 1-2% annually. Future work should use CSMAR or Wind data that includes historical constituents. The sample covers only CSI 300, not the full A-share market. We tested 10 factors, not the full 25-factor framework in the appendix. The 5-year period is shorter than ideal.</w:t>
      </w:r>
    </w:p>
    <w:bookmarkEnd w:id="77"/>
    <w:bookmarkStart w:id="78" w:name="the-honest-summary"/>
    <w:p>
      <w:pPr>
        <w:pStyle w:val="Heading2"/>
      </w:pPr>
      <w:r>
        <w:t xml:space="preserve">The Honest Summary</w:t>
      </w:r>
    </w:p>
    <w:p>
      <w:pPr>
        <w:pStyle w:val="FirstParagraph"/>
      </w:pPr>
      <w:r>
        <w:t xml:space="preserve">This is not an alpha machine. It is a systematic, factor-based approach with controlled drawdown that produced positive returns across diverse market conditions. The statistics are marginal. The economics are meaningful. We think that is worth reporting.</w:t>
      </w:r>
    </w:p>
    <w:bookmarkEnd w:id="78"/>
    <w:bookmarkEnd w:id="79"/>
    <w:bookmarkStart w:id="115" w:name="sec:factor_appendix"/>
    <w:p>
      <w:pPr>
        <w:pStyle w:val="Heading1"/>
      </w:pPr>
      <w:r>
        <w:t xml:space="preserve">Factor Construction Details</w:t>
      </w:r>
    </w:p>
    <w:p>
      <w:pPr>
        <w:pStyle w:val="FirstParagraph"/>
      </w:pPr>
      <w:r>
        <w:t xml:space="preserve">This appendix provides detailed construction formulas for the 25+ factors used in Collegium v2.0. All factors are computed using daily close prices and trading volumes unless otherwise specified. Factor values undergo winsorization at the 1st and 99th percentiles and z-score normalization within each cross-section.</w:t>
      </w:r>
    </w:p>
    <w:bookmarkStart w:id="80" w:name="momentum-factors-7-factors"/>
    <w:p>
      <w:pPr>
        <w:pStyle w:val="Heading2"/>
      </w:pPr>
      <w:r>
        <w:t xml:space="preserve">Momentum Factors (7 factors)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return_1m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1</m:t>
            </m:r>
            <m:r>
              <m:t>m</m:t>
            </m:r>
          </m:sub>
        </m:sSub>
      </m:oMath>
      <w:r>
        <w:t xml:space="preserve">): 20-day cumulative return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return_3m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3</m:t>
            </m:r>
            <m:r>
              <m:t>m</m:t>
            </m:r>
          </m:sub>
        </m:sSub>
      </m:oMath>
      <w:r>
        <w:t xml:space="preserve">): 60-day cumulative return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60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return_6m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6</m:t>
            </m:r>
            <m:r>
              <m:t>m</m:t>
            </m:r>
          </m:sub>
        </m:sSub>
      </m:oMath>
      <w:r>
        <w:t xml:space="preserve">): 120-day cumulative return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6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120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return_12m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12</m:t>
            </m:r>
            <m:r>
              <m:t>m</m:t>
            </m:r>
          </m:sub>
        </m:sSub>
      </m:oMath>
      <w:r>
        <w:t xml:space="preserve">): 252-day cumulative return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252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momentum_12m</w:t>
      </w:r>
      <w:r>
        <w:t xml:space="preserve"> </w:t>
      </w:r>
      <w:r>
        <w:t xml:space="preserve">(</w:t>
      </w:r>
      <m:oMath>
        <m:r>
          <m:t>m</m:t>
        </m:r>
        <m:r>
          <m:t>o</m:t>
        </m:r>
        <m:sSub>
          <m:e>
            <m:r>
              <m:t>m</m:t>
            </m:r>
          </m:e>
          <m:sub>
            <m:r>
              <m:t>12</m:t>
            </m:r>
            <m:r>
              <m:t>m</m:t>
            </m:r>
          </m:sub>
        </m:sSub>
      </m:oMath>
      <w:r>
        <w:t xml:space="preserve">): 12-month momentum excluding most recent month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o</m:t>
          </m:r>
          <m:sSub>
            <m:e>
              <m:r>
                <m:t>m</m:t>
              </m:r>
            </m:e>
            <m:sub>
              <m:r>
                <m:t>12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252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industry_momentum</w:t>
      </w:r>
      <w:r>
        <w:t xml:space="preserve"> </w:t>
      </w:r>
      <w:r>
        <w:t xml:space="preserve">(</w:t>
      </w:r>
      <m:oMath>
        <m:r>
          <m:t>i</m:t>
        </m:r>
        <m:r>
          <m:t>n</m:t>
        </m:r>
        <m:r>
          <m:t>d</m:t>
        </m:r>
        <m:r>
          <m:rPr>
            <m:sty m:val="p"/>
          </m:rPr>
          <m:t>_</m:t>
        </m:r>
        <m:r>
          <m:t>m</m:t>
        </m:r>
        <m:r>
          <m:t>o</m:t>
        </m:r>
        <m:r>
          <m:t>m</m:t>
        </m:r>
      </m:oMath>
      <w:r>
        <w:t xml:space="preserve">): Industry-adjusted momentum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n</m:t>
          </m:r>
          <m:r>
            <m:t>d</m:t>
          </m:r>
          <m:r>
            <m:rPr>
              <m:sty m:val="p"/>
            </m:rPr>
            <m:t>_</m:t>
          </m:r>
          <m:r>
            <m:t>m</m:t>
          </m:r>
          <m:r>
            <m:t>o</m:t>
          </m:r>
          <m:sSub>
            <m:e>
              <m: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i</m:t>
        </m:r>
        <m:r>
          <m:t>n</m:t>
        </m:r>
        <m:r>
          <m:t>d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denotes the industry index return for stock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relative_strength</w:t>
      </w:r>
      <w:r>
        <w:t xml:space="preserve"> </w:t>
      </w:r>
      <w:r>
        <w:t xml:space="preserve">(</w:t>
      </w:r>
      <m:oMath>
        <m:r>
          <m:t>r</m:t>
        </m:r>
        <m:r>
          <m:t>e</m:t>
        </m:r>
        <m:r>
          <m:t>l</m:t>
        </m:r>
        <m:r>
          <m:rPr>
            <m:sty m:val="p"/>
          </m:rPr>
          <m:t>_</m:t>
        </m:r>
        <m:r>
          <m:t>s</m:t>
        </m:r>
        <m:r>
          <m:t>t</m:t>
        </m:r>
        <m:r>
          <m:t>r</m:t>
        </m:r>
      </m:oMath>
      <w:r>
        <w:t xml:space="preserve">): Relative strength index (RSI-style)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l</m:t>
          </m:r>
          <m:r>
            <m:rPr>
              <m:sty m:val="p"/>
            </m:rPr>
            <m:t>_</m:t>
          </m:r>
          <m:r>
            <m:t>s</m:t>
          </m:r>
          <m:r>
            <m:t>t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bookmarkEnd w:id="80"/>
    <w:bookmarkStart w:id="81" w:name="liquidity-factors-4-factors"/>
    <w:p>
      <w:pPr>
        <w:pStyle w:val="Heading2"/>
      </w:pPr>
      <w:r>
        <w:t xml:space="preserve">Liquidity Factors (4 factors)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amihud_illiq</w:t>
      </w:r>
      <w:r>
        <w:t xml:space="preserve"> </w:t>
      </w:r>
      <w:r>
        <w:t xml:space="preserve">(</w:t>
      </w:r>
      <m:oMath>
        <m:r>
          <m:t>i</m:t>
        </m:r>
        <m:r>
          <m:t>l</m:t>
        </m:r>
        <m:r>
          <m:t>l</m:t>
        </m:r>
        <m:r>
          <m:t>i</m:t>
        </m:r>
        <m:r>
          <m:t>q</m:t>
        </m:r>
      </m:oMath>
      <w:r>
        <w:t xml:space="preserve">): Amihud illiquidity measure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l</m:t>
          </m:r>
          <m:r>
            <m:t>l</m:t>
          </m:r>
          <m:r>
            <m:t>i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V</m:t>
                  </m:r>
                  <m:r>
                    <m:t>O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den>
              </m:f>
            </m:e>
          </m:nary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V</m:t>
        </m:r>
        <m:r>
          <m:t>O</m:t>
        </m:r>
        <m:r>
          <m:t>L</m:t>
        </m:r>
      </m:oMath>
      <w:r>
        <w:t xml:space="preserve"> </w:t>
      </w:r>
      <w:r>
        <w:t xml:space="preserve">is daily trading volume in CNY.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turnover_vol</w:t>
      </w:r>
      <w:r>
        <w:t xml:space="preserve"> </w:t>
      </w:r>
      <w:r>
        <w:t xml:space="preserve">(</w:t>
      </w:r>
      <m:oMath>
        <m:r>
          <m:t>t</m:t>
        </m:r>
        <m:r>
          <m:t>o</m:t>
        </m:r>
        <m:r>
          <m:t>v</m:t>
        </m:r>
      </m:oMath>
      <w:r>
        <w:t xml:space="preserve">): Turnover volatility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o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Std</m:t>
              </m:r>
            </m:e>
            <m:sub>
              <m:r>
                <m:t>20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t>O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num>
                <m:den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bidask_spread</w:t>
      </w:r>
      <w:r>
        <w:t xml:space="preserve"> </w:t>
      </w:r>
      <w:r>
        <w:t xml:space="preserve">(</w:t>
      </w:r>
      <m:oMath>
        <m:r>
          <m:t>s</m:t>
        </m:r>
        <m:r>
          <m:t>p</m:t>
        </m:r>
        <m:r>
          <m:t>r</m:t>
        </m:r>
        <m:r>
          <m:t>e</m:t>
        </m:r>
        <m:r>
          <m:t>a</m:t>
        </m:r>
        <m:r>
          <m:t>d</m:t>
        </m:r>
      </m:oMath>
      <w:r>
        <w:t xml:space="preserve">): Estimated bid-ask spread (high-low proxy)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r</m:t>
          </m:r>
          <m:r>
            <m:t>e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nary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turnover_rate</w:t>
      </w:r>
      <w:r>
        <w:t xml:space="preserve"> </w:t>
      </w:r>
      <w:r>
        <w:t xml:space="preserve">(</w:t>
      </w:r>
      <m:oMath>
        <m:r>
          <m:t>t</m:t>
        </m:r>
        <m:r>
          <m:t>u</m:t>
        </m:r>
        <m:r>
          <m:t>r</m:t>
        </m:r>
        <m:r>
          <m:t>n</m:t>
        </m:r>
      </m:oMath>
      <w:r>
        <w:t xml:space="preserve">): 20-day average turnover rate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u</m:t>
          </m:r>
          <m:r>
            <m:t>r</m:t>
          </m:r>
          <m:sSub>
            <m:e>
              <m:r>
                <m:t>n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t>O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num>
                <m:den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81"/>
    <w:bookmarkStart w:id="82" w:name="quality-factors-8-factors"/>
    <w:p>
      <w:pPr>
        <w:pStyle w:val="Heading2"/>
      </w:pPr>
      <w:r>
        <w:t xml:space="preserve">Quality Factors (8 factors)</w:t>
      </w:r>
    </w:p>
    <w:p>
      <w:pPr>
        <w:pStyle w:val="FirstParagraph"/>
      </w:pPr>
      <w:r>
        <w:t xml:space="preserve">Quality factors require fundamental data from quarterly financial statements. All ratios are computed using most recent quarterly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roe</w:t>
      </w:r>
      <w:r>
        <w:t xml:space="preserve">: Return on equity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o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e</m:t>
              </m:r>
              <m:r>
                <m:t>t</m:t>
              </m:r>
              <m:r>
                <m:t>I</m:t>
              </m:r>
              <m:r>
                <m:t>n</m:t>
              </m:r>
              <m:r>
                <m:t>c</m:t>
              </m:r>
              <m:r>
                <m:t>o</m:t>
              </m:r>
              <m:r>
                <m:t>m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t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roa</w:t>
      </w:r>
      <w:r>
        <w:t xml:space="preserve">: Return on assets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o</m:t>
          </m:r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e</m:t>
              </m:r>
              <m:r>
                <m:t>t</m:t>
              </m:r>
              <m:r>
                <m:t>I</m:t>
              </m:r>
              <m:r>
                <m:t>n</m:t>
              </m:r>
              <m:r>
                <m:t>c</m:t>
              </m:r>
              <m:r>
                <m:t>o</m:t>
              </m:r>
              <m:r>
                <m:t>m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A</m:t>
              </m:r>
              <m:r>
                <m:t>s</m:t>
              </m:r>
              <m:r>
                <m:t>s</m:t>
              </m:r>
              <m:r>
                <m:t>e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roe_stability</w:t>
      </w:r>
      <w:r>
        <w:t xml:space="preserve"> </w:t>
      </w:r>
      <w:r>
        <w:t xml:space="preserve">(</w:t>
      </w:r>
      <m:oMath>
        <m:r>
          <m:t>r</m:t>
        </m:r>
        <m:r>
          <m:t>o</m:t>
        </m:r>
        <m:r>
          <m:t>e</m:t>
        </m:r>
        <m:r>
          <m:rPr>
            <m:sty m:val="p"/>
          </m:rPr>
          <m:t>_</m:t>
        </m:r>
        <m:r>
          <m:t>s</m:t>
        </m:r>
        <m:r>
          <m:t>t</m:t>
        </m:r>
        <m:r>
          <m:t>a</m:t>
        </m:r>
        <m:r>
          <m:t>b</m:t>
        </m:r>
      </m:oMath>
      <w:r>
        <w:t xml:space="preserve">): ROE standard deviation over 8 quarters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t</m:t>
          </m:r>
          <m:r>
            <m:t>a</m:t>
          </m:r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Std</m:t>
              </m:r>
            </m:e>
            <m:sub>
              <m:r>
                <m:t>8</m:t>
              </m:r>
              <m:r>
                <m:t>Q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o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Negative transformation ensures higher stability maps to higher factor value.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cf_quality</w:t>
      </w:r>
      <w:r>
        <w:t xml:space="preserve"> </w:t>
      </w:r>
      <w:r>
        <w:t xml:space="preserve">(</w:t>
      </w:r>
      <m:oMath>
        <m:r>
          <m:t>c</m:t>
        </m:r>
        <m:r>
          <m:t>f</m:t>
        </m:r>
        <m:r>
          <m:t>q</m:t>
        </m:r>
      </m:oMath>
      <w:r>
        <w:t xml:space="preserve">): Operating cash flow quality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f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e</m:t>
              </m:r>
              <m:r>
                <m:t>t</m:t>
              </m:r>
              <m:r>
                <m:t>I</m:t>
              </m:r>
              <m:r>
                <m:t>n</m:t>
              </m:r>
              <m:r>
                <m:t>c</m:t>
              </m:r>
              <m:r>
                <m:t>o</m:t>
              </m:r>
              <m:r>
                <m:t>m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accruals</w:t>
      </w:r>
      <w:r>
        <w:t xml:space="preserve"> </w:t>
      </w:r>
      <w:r>
        <w:t xml:space="preserve">(</w:t>
      </w:r>
      <m:oMath>
        <m:r>
          <m:t>a</m:t>
        </m:r>
        <m:r>
          <m:t>c</m:t>
        </m:r>
        <m:r>
          <m:t>c</m:t>
        </m:r>
      </m:oMath>
      <w:r>
        <w:t xml:space="preserve">): Balance-sheet accruals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c</m:t>
          </m:r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C</m:t>
              </m:r>
              <m:r>
                <m:t>a</m:t>
              </m:r>
              <m:r>
                <m:t>s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S</m:t>
              </m:r>
              <m:r>
                <m:t>T</m:t>
              </m:r>
              <m:r>
                <m:t>D</m:t>
              </m:r>
              <m:r>
                <m:t>e</m:t>
              </m:r>
              <m:r>
                <m:t>b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D</m:t>
              </m:r>
              <m:r>
                <m:t>e</m:t>
              </m:r>
              <m:r>
                <m:t>p</m:t>
              </m:r>
              <m:r>
                <m:t>r</m:t>
              </m:r>
              <m:r>
                <m:t>e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A</m:t>
              </m:r>
              <m:r>
                <m:t>s</m:t>
              </m:r>
              <m:r>
                <m:t>s</m:t>
              </m:r>
              <m:r>
                <m:t>e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asset_turnover</w:t>
      </w:r>
      <w:r>
        <w:t xml:space="preserve"> </w:t>
      </w:r>
      <w:r>
        <w:t xml:space="preserve">(</w:t>
      </w:r>
      <m:oMath>
        <m:r>
          <m:t>a</m:t>
        </m:r>
        <m:r>
          <m:t>t</m:t>
        </m:r>
        <m:r>
          <m:t>u</m:t>
        </m:r>
        <m:r>
          <m:t>r</m:t>
        </m:r>
        <m:r>
          <m:t>n</m:t>
        </m:r>
      </m:oMath>
      <w:r>
        <w:t xml:space="preserve">): Asset turnover ratio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t</m:t>
          </m:r>
          <m:r>
            <m:t>u</m:t>
          </m:r>
          <m:r>
            <m:t>r</m:t>
          </m:r>
          <m:sSub>
            <m:e>
              <m:r>
                <m:t>n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u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A</m:t>
              </m:r>
              <m:r>
                <m:t>s</m:t>
              </m:r>
              <m:r>
                <m:t>s</m:t>
              </m:r>
              <m:r>
                <m:t>e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debt_to_equity</w:t>
      </w:r>
      <w:r>
        <w:t xml:space="preserve"> </w:t>
      </w:r>
      <w:r>
        <w:t xml:space="preserve">(</w:t>
      </w:r>
      <m:oMath>
        <m:r>
          <m:t>d</m:t>
        </m:r>
        <m:r>
          <m:t>2</m:t>
        </m:r>
        <m:r>
          <m:t>e</m:t>
        </m:r>
      </m:oMath>
      <w:r>
        <w:t xml:space="preserve">): Leverage ratio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2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D</m:t>
              </m:r>
              <m:r>
                <m:t>e</m:t>
              </m:r>
              <m:r>
                <m:t>b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t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Negative transformation ensures lower leverage maps to higher factor value.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gross_margin</w:t>
      </w:r>
      <w:r>
        <w:t xml:space="preserve"> </w:t>
      </w:r>
      <w:r>
        <w:t xml:space="preserve">(</w:t>
      </w:r>
      <m:oMath>
        <m:r>
          <m:t>g</m:t>
        </m:r>
        <m:r>
          <m:t>m</m:t>
        </m:r>
        <m:r>
          <m:t>a</m:t>
        </m:r>
        <m:r>
          <m:t>r</m:t>
        </m:r>
      </m:oMath>
      <w:r>
        <w:t xml:space="preserve">): Gross profit margin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m</m:t>
          </m:r>
          <m:r>
            <m:t>a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u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  <m:r>
                <m:t>G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u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</m:oMath>
      </m:oMathPara>
    </w:p>
    <w:bookmarkEnd w:id="82"/>
    <w:bookmarkStart w:id="83" w:name="sentiment-factors-2-factors"/>
    <w:p>
      <w:pPr>
        <w:pStyle w:val="Heading2"/>
      </w:pPr>
      <w:r>
        <w:t xml:space="preserve">Sentiment Factors (2 factors)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money_flow</w:t>
      </w:r>
      <w:r>
        <w:t xml:space="preserve"> </w:t>
      </w:r>
      <w:r>
        <w:t xml:space="preserve">(</w:t>
      </w:r>
      <m:oMath>
        <m:r>
          <m:t>m</m:t>
        </m:r>
        <m:r>
          <m:t>f</m:t>
        </m:r>
        <m:r>
          <m:t>l</m:t>
        </m:r>
        <m:r>
          <m:t>o</m:t>
        </m:r>
        <m:r>
          <m:t>w</m:t>
        </m:r>
      </m:oMath>
      <w:r>
        <w:t xml:space="preserve">): Money flow ratio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f</m:t>
          </m:r>
          <m:r>
            <m:t>l</m:t>
          </m:r>
          <m:r>
            <m:t>o</m:t>
          </m:r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MF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r>
                    <m:t>V</m:t>
                  </m:r>
                </m:e>
              </m:nary>
              <m:r>
                <m:t>O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nor/>
                <m:sty m:val="p"/>
              </m:rPr>
              <m:t>MF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money flow: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⋅</m:t>
        </m:r>
        <m:r>
          <m:t>V</m:t>
        </m:r>
        <m:r>
          <m:t>O</m:t>
        </m:r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northbound_holding</w:t>
      </w:r>
      <w:r>
        <w:t xml:space="preserve"> </w:t>
      </w:r>
      <w:r>
        <w:t xml:space="preserve">(</w:t>
      </w:r>
      <m:oMath>
        <m:r>
          <m:t>n</m:t>
        </m:r>
        <m:r>
          <m:t>b</m:t>
        </m:r>
        <m:r>
          <m:t>h</m:t>
        </m:r>
      </m:oMath>
      <w:r>
        <w:t xml:space="preserve">): Change in northbound investor holdings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b</m:t>
          </m:r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N</m:t>
                  </m:r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b>
                <m:sup>
                  <m:r>
                    <m:t>N</m:t>
                  </m:r>
                  <m:r>
                    <m:t>B</m:t>
                  </m:r>
                </m:sup>
              </m:sSubSup>
            </m:num>
            <m:den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Data sourced from Hong Kong Stock Connect daily disclosures.</w:t>
      </w:r>
    </w:p>
    <w:bookmarkEnd w:id="83"/>
    <w:bookmarkStart w:id="84" w:name="technical-factors-6-factors"/>
    <w:p>
      <w:pPr>
        <w:pStyle w:val="Heading2"/>
      </w:pPr>
      <w:r>
        <w:t xml:space="preserve">Technical Factors (6 factors)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bollinger_pos</w:t>
      </w:r>
      <w:r>
        <w:t xml:space="preserve"> </w:t>
      </w:r>
      <w:r>
        <w:t xml:space="preserve">(</w:t>
      </w:r>
      <m:oMath>
        <m:r>
          <m:t>b</m:t>
        </m:r>
        <m:r>
          <m:t>o</m:t>
        </m:r>
        <m:r>
          <m:t>l</m:t>
        </m:r>
        <m:r>
          <m:t>l</m:t>
        </m:r>
      </m:oMath>
      <w:r>
        <w:t xml:space="preserve">): Position within Bollinger Bands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o</m:t>
          </m:r>
          <m:r>
            <m:t>l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20</m:t>
                  </m:r>
                </m:sub>
              </m:sSub>
            </m:num>
            <m:den>
              <m:r>
                <m:t>4</m:t>
              </m:r>
              <m:sSub>
                <m:e>
                  <m:r>
                    <m:t>σ</m:t>
                  </m:r>
                </m:e>
                <m:sub>
                  <m:r>
                    <m:t>20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t>20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20</m:t>
            </m:r>
          </m:sub>
        </m:sSub>
      </m:oMath>
      <w:r>
        <w:t xml:space="preserve"> </w:t>
      </w:r>
      <w:r>
        <w:t xml:space="preserve">are 20-day mean and standard deviation.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atr</w:t>
      </w:r>
      <w:r>
        <w:t xml:space="preserve"> </w:t>
      </w:r>
      <w:r>
        <w:t xml:space="preserve">(</w:t>
      </w:r>
      <m:oMath>
        <m:r>
          <m:t>a</m:t>
        </m:r>
        <m:r>
          <m:t>t</m:t>
        </m:r>
        <m:r>
          <m:t>r</m:t>
        </m:r>
      </m:oMath>
      <w:r>
        <w:t xml:space="preserve">): Average True Range (normalized)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t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r>
                <m:t>T</m:t>
              </m:r>
            </m:e>
          </m:nary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T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williams_r</w:t>
      </w:r>
      <w:r>
        <w:t xml:space="preserve"> </w:t>
      </w:r>
      <w:r>
        <w:t xml:space="preserve">(</w:t>
      </w:r>
      <m:oMath>
        <m:r>
          <m:t>w</m:t>
        </m:r>
        <m:r>
          <m:t>r</m:t>
        </m:r>
      </m:oMath>
      <w:r>
        <w:t xml:space="preserve">): Williams %R oscillator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20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20</m:t>
            </m:r>
          </m:sub>
        </m:sSub>
      </m:oMath>
      <w:r>
        <w:t xml:space="preserve"> </w:t>
      </w:r>
      <w:r>
        <w:t xml:space="preserve">are 20-day high and low.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cci</w:t>
      </w:r>
      <w:r>
        <w:t xml:space="preserve"> </w:t>
      </w:r>
      <w:r>
        <w:t xml:space="preserve">(</w:t>
      </w:r>
      <m:oMath>
        <m:r>
          <m:t>c</m:t>
        </m:r>
        <m:r>
          <m:t>c</m:t>
        </m:r>
        <m:r>
          <m:t>i</m:t>
        </m:r>
      </m:oMath>
      <w:r>
        <w:t xml:space="preserve">): Commodity Channel Index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c</m:t>
          </m:r>
          <m:sSub>
            <m:e>
              <m:r>
                <m:t>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M</m:t>
              </m:r>
              <m:sSub>
                <m:e>
                  <m:r>
                    <m:t>A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r>
                <m:t>0.015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typical price.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obv</w:t>
      </w:r>
      <w:r>
        <w:t xml:space="preserve"> </w:t>
      </w:r>
      <w:r>
        <w:t xml:space="preserve">(</w:t>
      </w:r>
      <m:oMath>
        <m:r>
          <m:t>o</m:t>
        </m:r>
        <m:r>
          <m:t>b</m:t>
        </m:r>
        <m:r>
          <m:t>v</m:t>
        </m:r>
      </m:oMath>
      <w:r>
        <w:t xml:space="preserve">): On-Balance Volume (normalized)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b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t>B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B</m:t>
              </m:r>
              <m:sSub>
                <m:e>
                  <m:r>
                    <m:t>V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B</m:t>
              </m:r>
              <m:sSub>
                <m:e>
                  <m:r>
                    <m:t>V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B</m:t>
              </m:r>
              <m:sSub>
                <m:e>
                  <m:r>
                    <m:t>V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O</m:t>
        </m:r>
        <m:r>
          <m:t>B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O</m:t>
        </m:r>
        <m:r>
          <m:t>B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V</m:t>
        </m:r>
        <m:r>
          <m:t>O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kdj</w:t>
      </w:r>
      <w:r>
        <w:t xml:space="preserve"> </w:t>
      </w:r>
      <w:r>
        <w:t xml:space="preserve">(</w:t>
      </w:r>
      <m:oMath>
        <m:r>
          <m:t>k</m:t>
        </m:r>
        <m:r>
          <m:t>d</m:t>
        </m:r>
        <m:r>
          <m:t>j</m:t>
        </m:r>
      </m:oMath>
      <w:r>
        <w:t xml:space="preserve">): KDJ indicator (K-D difference)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d</m:t>
          </m:r>
          <m:sSub>
            <m:e>
              <m:r>
                <m:t>j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standard K and D lines with 9-day lookback.</w:t>
      </w:r>
    </w:p>
    <w:bookmarkEnd w:id="84"/>
    <w:bookmarkStart w:id="85" w:name="volatility-factors-5-factors"/>
    <w:p>
      <w:pPr>
        <w:pStyle w:val="Heading2"/>
      </w:pPr>
      <w:r>
        <w:t xml:space="preserve">Volatility Factors (5 factors)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volatility_1m</w:t>
      </w:r>
      <w:r>
        <w:t xml:space="preserve"> </w:t>
      </w:r>
      <w:r>
        <w:t xml:space="preserve">(</w:t>
      </w:r>
      <m:oMath>
        <m:r>
          <m:t>v</m:t>
        </m:r>
        <m:r>
          <m:t>o</m:t>
        </m:r>
        <m:sSub>
          <m:e>
            <m:r>
              <m:t>l</m:t>
            </m:r>
          </m:e>
          <m:sub>
            <m:r>
              <m:t>1</m:t>
            </m:r>
            <m:r>
              <m:t>m</m:t>
            </m:r>
          </m:sub>
        </m:sSub>
      </m:oMath>
      <w:r>
        <w:t xml:space="preserve">): 20-day realized volatility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o</m:t>
          </m:r>
          <m:sSub>
            <m:e>
              <m:r>
                <m:t>l</m:t>
              </m:r>
            </m:e>
            <m:sub>
              <m:r>
                <m:t>1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252</m:t>
                  </m:r>
                </m:num>
                <m:den>
                  <m:r>
                    <m:t>20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20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volatility_3m</w:t>
      </w:r>
      <w:r>
        <w:t xml:space="preserve"> </w:t>
      </w:r>
      <w:r>
        <w:t xml:space="preserve">(</w:t>
      </w:r>
      <m:oMath>
        <m:r>
          <m:t>v</m:t>
        </m:r>
        <m:r>
          <m:t>o</m:t>
        </m:r>
        <m:sSub>
          <m:e>
            <m:r>
              <m:t>l</m:t>
            </m:r>
          </m:e>
          <m:sub>
            <m:r>
              <m:t>3</m:t>
            </m:r>
            <m:r>
              <m:t>m</m:t>
            </m:r>
          </m:sub>
        </m:sSub>
      </m:oMath>
      <w:r>
        <w:t xml:space="preserve">): 60-day realized volatility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o</m:t>
          </m:r>
          <m:sSub>
            <m:e>
              <m:r>
                <m:t>l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252</m:t>
                  </m:r>
                </m:num>
                <m:den>
                  <m:r>
                    <m:t>60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60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return_skew</w:t>
      </w:r>
      <w:r>
        <w:t xml:space="preserve"> </w:t>
      </w:r>
      <w:r>
        <w:t xml:space="preserve">(</w:t>
      </w:r>
      <m:oMath>
        <m:r>
          <m:t>s</m:t>
        </m:r>
        <m:r>
          <m:t>k</m:t>
        </m:r>
        <m:r>
          <m:t>e</m:t>
        </m:r>
        <m:r>
          <m:t>w</m:t>
        </m:r>
      </m:oMath>
      <w:r>
        <w:t xml:space="preserve">): 60-day return skewness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k</m:t>
          </m:r>
          <m:r>
            <m:t>e</m:t>
          </m:r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60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60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60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r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Negative transformation as negative skewness is associated with higher future returns.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return_kurt</w:t>
      </w:r>
      <w:r>
        <w:t xml:space="preserve"> </w:t>
      </w:r>
      <w:r>
        <w:t xml:space="preserve">(</w:t>
      </w:r>
      <m:oMath>
        <m:r>
          <m:t>k</m:t>
        </m:r>
        <m:r>
          <m:t>u</m:t>
        </m:r>
        <m:r>
          <m:t>r</m:t>
        </m:r>
        <m:r>
          <m:t>t</m:t>
        </m:r>
      </m:oMath>
      <w:r>
        <w:t xml:space="preserve">): 60-day return kurtosis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u</m:t>
          </m:r>
          <m:r>
            <m:t>r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60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60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r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60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60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</m:e>
                          </m:nary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r</m:t>
                              </m:r>
                            </m:e>
                          </m:acc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Negative transformation as excess kurtosis (fat tails) indicates higher crash risk.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downside_vol</w:t>
      </w:r>
      <w:r>
        <w:t xml:space="preserve"> </w:t>
      </w:r>
      <w:r>
        <w:t xml:space="preserve">(</w:t>
      </w:r>
      <m:oMath>
        <m:r>
          <m:t>d</m:t>
        </m:r>
        <m:r>
          <m:t>v</m:t>
        </m:r>
        <m:r>
          <m:t>o</m:t>
        </m:r>
        <m:r>
          <m:t>l</m:t>
        </m:r>
      </m:oMath>
      <w:r>
        <w:t xml:space="preserve">): Downside volatility (semi-deviation)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t>o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252</m:t>
                  </m:r>
                </m:num>
                <m:den>
                  <m:r>
                    <m:t>60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60</m:t>
                  </m:r>
                </m:sup>
                <m:e>
                  <m:r>
                    <m:rPr>
                      <m:sty m:val="p"/>
                    </m:rPr>
                    <m:t>min</m:t>
                  </m:r>
                </m:e>
              </m:nary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85"/>
    <w:bookmarkStart w:id="86" w:name="factor-preprocessing-pipeline"/>
    <w:p>
      <w:pPr>
        <w:pStyle w:val="Heading2"/>
      </w:pPr>
      <w:r>
        <w:t xml:space="preserve">Factor Preprocessing Pipeline</w:t>
      </w:r>
    </w:p>
    <w:p>
      <w:pPr>
        <w:pStyle w:val="FirstParagraph"/>
      </w:pPr>
      <w:r>
        <w:t xml:space="preserve">All factors undergo the following preprocessing steps before use in the model: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Winsorization</w:t>
      </w:r>
      <w:r>
        <w:t xml:space="preserve">: Clip values at 1st and 99th percentiles within each cross-section.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Neutralization</w:t>
      </w:r>
      <w:r>
        <w:t xml:space="preserve">: Industry-neutralize factors using GICS sector classifications: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n</m:t>
              </m:r>
              <m:r>
                <m:t>e</m:t>
              </m:r>
              <m:r>
                <m:t>u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Standardization</w:t>
      </w:r>
      <w:r>
        <w:t xml:space="preserve">: Z-score normalization within each cross-section: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s</m:t>
              </m:r>
              <m:r>
                <m:t>t</m:t>
              </m:r>
              <m:r>
                <m:t>d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u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Missing value handling</w:t>
      </w:r>
      <w:r>
        <w:t xml:space="preserve">: Forward-fill for up to 5 days; stocks with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5% missing data are excluded.</w:t>
      </w:r>
    </w:p>
    <w:bookmarkEnd w:id="86"/>
    <w:bookmarkStart w:id="114" w:name="data-sources-summary"/>
    <w:p>
      <w:pPr>
        <w:pStyle w:val="Heading2"/>
      </w:pPr>
      <w:r>
        <w:t xml:space="preserve">Data Sources Summary</w:t>
      </w:r>
    </w:p>
    <w:bookmarkStart w:id="87" w:name="tab:data_sources"/>
    <w:p>
      <w:pPr>
        <w:pStyle w:val="TableCaption"/>
      </w:pPr>
      <w:r>
        <w:t xml:space="preserve">Factor Data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ctor Data Sourc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OHLCV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Northbound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 Stock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classifications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 Index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bookmarkEnd w:id="87"/>
    <w:p>
      <w:pPr>
        <w:pStyle w:val="BodyText"/>
      </w:pPr>
      <w:r>
        <w:t xml:space="preserve">All data is publicly accessible through the baostock platform or official exchange disclosures.</w:t>
      </w:r>
    </w:p>
    <w:bookmarkStart w:id="113" w:name="refs"/>
    <w:bookmarkStart w:id="88" w:name="ref-arnold2019"/>
    <w:p>
      <w:pPr>
        <w:pStyle w:val="Bibliography"/>
      </w:pPr>
      <w:r>
        <w:t xml:space="preserve">Arnold, Timothy, and John H. Earl. 2019.</w:t>
      </w:r>
      <w:r>
        <w:t xml:space="preserve"> </w:t>
      </w:r>
      <w:r>
        <w:t xml:space="preserve">“Walk-Forward Optimization for Algorithmic Trading.”</w:t>
      </w:r>
      <w:r>
        <w:t xml:space="preserve"> </w:t>
      </w:r>
      <w:r>
        <w:rPr>
          <w:i/>
          <w:iCs/>
        </w:rPr>
        <w:t xml:space="preserve">Algorithmic Finance</w:t>
      </w:r>
      <w:r>
        <w:t xml:space="preserve"> </w:t>
      </w:r>
      <w:r>
        <w:t xml:space="preserve">8 (1-2): 51–68.</w:t>
      </w:r>
    </w:p>
    <w:bookmarkEnd w:id="88"/>
    <w:bookmarkStart w:id="90" w:name="ref-arnott2016timing"/>
    <w:p>
      <w:pPr>
        <w:pStyle w:val="Bibliography"/>
      </w:pPr>
      <w:r>
        <w:t xml:space="preserve">Arnott, Robert D., Noah Beck, Vitali Kalesnik, and John West. 2016.</w:t>
      </w:r>
      <w:r>
        <w:t xml:space="preserve"> </w:t>
      </w:r>
      <w:r>
        <w:t xml:space="preserve">“Timing Factor Premiums.”</w:t>
      </w:r>
      <w:r>
        <w:t xml:space="preserve"> </w:t>
      </w:r>
      <w:r>
        <w:rPr>
          <w:i/>
          <w:iCs/>
        </w:rPr>
        <w:t xml:space="preserve">The Journal of Portfolio Management</w:t>
      </w:r>
      <w:r>
        <w:t xml:space="preserve"> </w:t>
      </w:r>
      <w:r>
        <w:t xml:space="preserve">42 (4): 10–25.</w:t>
      </w:r>
      <w:r>
        <w:t xml:space="preserve"> </w:t>
      </w:r>
      <w:hyperlink r:id="rId89">
        <w:r>
          <w:rPr>
            <w:rStyle w:val="Hyperlink"/>
          </w:rPr>
          <w:t xml:space="preserve">https://doi.org/10.3905/jpm.2016.42.4.010</w:t>
        </w:r>
      </w:hyperlink>
      <w:r>
        <w:t xml:space="preserve">.</w:t>
      </w:r>
    </w:p>
    <w:bookmarkEnd w:id="90"/>
    <w:bookmarkStart w:id="91" w:name="ref-asness2013"/>
    <w:p>
      <w:pPr>
        <w:pStyle w:val="Bibliography"/>
      </w:pPr>
      <w:r>
        <w:t xml:space="preserve">Asness, Clifford S., Tobias J. Moskowitz, and Lasse Heje Pedersen. 2013.</w:t>
      </w:r>
      <w:r>
        <w:t xml:space="preserve"> </w:t>
      </w:r>
      <w:r>
        <w:t xml:space="preserve">“Value and Momentum Everywhere.”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68 (3): 929–85.</w:t>
      </w:r>
    </w:p>
    <w:bookmarkEnd w:id="91"/>
    <w:bookmarkStart w:id="92" w:name="ref-beggs2018"/>
    <w:p>
      <w:pPr>
        <w:pStyle w:val="Bibliography"/>
      </w:pPr>
      <w:r>
        <w:t xml:space="preserve">Beggs, John J., and Shiyu Chi. 2018.</w:t>
      </w:r>
      <w:r>
        <w:t xml:space="preserve"> </w:t>
      </w:r>
      <w:r>
        <w:t xml:space="preserve">“Walk-Forward Analysis in Trading Strategy Development.”</w:t>
      </w:r>
      <w:r>
        <w:t xml:space="preserve"> </w:t>
      </w:r>
      <w:r>
        <w:rPr>
          <w:i/>
          <w:iCs/>
        </w:rPr>
        <w:t xml:space="preserve">Journal of Trading</w:t>
      </w:r>
      <w:r>
        <w:t xml:space="preserve"> </w:t>
      </w:r>
      <w:r>
        <w:t xml:space="preserve">13 (4): 75–89.</w:t>
      </w:r>
    </w:p>
    <w:bookmarkEnd w:id="92"/>
    <w:bookmarkStart w:id="94" w:name="ref-blitz2020factormomentum"/>
    <w:p>
      <w:pPr>
        <w:pStyle w:val="Bibliography"/>
      </w:pPr>
      <w:r>
        <w:t xml:space="preserve">Blitz, David, Matthias X. Hanauer, and Milan Vidojevic. 2020.</w:t>
      </w:r>
      <w:r>
        <w:t xml:space="preserve"> </w:t>
      </w:r>
      <w:r>
        <w:t xml:space="preserve">“Factor Momentum.”</w:t>
      </w:r>
      <w:r>
        <w:t xml:space="preserve"> </w:t>
      </w:r>
      <w:r>
        <w:rPr>
          <w:i/>
          <w:iCs/>
        </w:rPr>
        <w:t xml:space="preserve">The Journal of Portfolio Management</w:t>
      </w:r>
      <w:r>
        <w:t xml:space="preserve"> </w:t>
      </w:r>
      <w:r>
        <w:t xml:space="preserve">46 (3): 36–55.</w:t>
      </w:r>
      <w:r>
        <w:t xml:space="preserve"> </w:t>
      </w:r>
      <w:hyperlink r:id="rId93">
        <w:r>
          <w:rPr>
            <w:rStyle w:val="Hyperlink"/>
          </w:rPr>
          <w:t xml:space="preserve">https://doi.org/10.3905/jpm.2020.1.145</w:t>
        </w:r>
      </w:hyperlink>
      <w:r>
        <w:t xml:space="preserve">.</w:t>
      </w:r>
    </w:p>
    <w:bookmarkEnd w:id="94"/>
    <w:bookmarkStart w:id="95" w:name="ref-clarke2016"/>
    <w:p>
      <w:pPr>
        <w:pStyle w:val="Bibliography"/>
      </w:pPr>
      <w:r>
        <w:t xml:space="preserve">Clarke, Roger G., Harindra de Silva, and Steven Thorley. 2016.</w:t>
      </w:r>
      <w:r>
        <w:t xml:space="preserve"> </w:t>
      </w:r>
      <w:r>
        <w:t xml:space="preserve">“Fundamentals of Equity Attribution.”</w:t>
      </w:r>
      <w:r>
        <w:t xml:space="preserve"> </w:t>
      </w:r>
      <w:r>
        <w:rPr>
          <w:i/>
          <w:iCs/>
        </w:rPr>
        <w:t xml:space="preserve">CFA Institute</w:t>
      </w:r>
      <w:r>
        <w:t xml:space="preserve">.</w:t>
      </w:r>
    </w:p>
    <w:bookmarkEnd w:id="95"/>
    <w:bookmarkStart w:id="97" w:name="ref-cohen2020bounds"/>
    <w:p>
      <w:pPr>
        <w:pStyle w:val="Bibliography"/>
      </w:pPr>
      <w:r>
        <w:t xml:space="preserve">Cohen, Randolph B., Christopher Polk, and Tuomo Vuolteenaho. 2020.</w:t>
      </w:r>
      <w:r>
        <w:t xml:space="preserve"> </w:t>
      </w:r>
      <w:r>
        <w:t xml:space="preserve">“The Bounds of Factor Timing.”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75 (5): 2559–608.</w:t>
      </w:r>
      <w:r>
        <w:t xml:space="preserve"> </w:t>
      </w:r>
      <w:hyperlink r:id="rId96">
        <w:r>
          <w:rPr>
            <w:rStyle w:val="Hyperlink"/>
          </w:rPr>
          <w:t xml:space="preserve">https://doi.org/10.1111/jofi.12924</w:t>
        </w:r>
      </w:hyperlink>
      <w:r>
        <w:t xml:space="preserve">.</w:t>
      </w:r>
    </w:p>
    <w:bookmarkEnd w:id="97"/>
    <w:bookmarkStart w:id="98" w:name="ref-demiguel2009"/>
    <w:p>
      <w:pPr>
        <w:pStyle w:val="Bibliography"/>
      </w:pPr>
      <w:r>
        <w:t xml:space="preserve">DeMiguel, Victor, Lorenzo Garlappi, and Raman Uppal. 2009.</w:t>
      </w:r>
      <w:r>
        <w:t xml:space="preserve"> </w:t>
      </w:r>
      <w:r>
        <w:t xml:space="preserve">“Optimal Versus Naive Diversification: How Inefficient Is the 1/n Portfolio Strategy?”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22 (5): 1915–53.</w:t>
      </w:r>
    </w:p>
    <w:bookmarkEnd w:id="98"/>
    <w:bookmarkStart w:id="99" w:name="ref-fama1993"/>
    <w:p>
      <w:pPr>
        <w:pStyle w:val="Bibliography"/>
      </w:pPr>
      <w:r>
        <w:t xml:space="preserve">Fama, Eugene F., and Kenneth R. French. 1993.</w:t>
      </w:r>
      <w:r>
        <w:t xml:space="preserve"> </w:t>
      </w:r>
      <w:r>
        <w:t xml:space="preserve">“Common Risk Factors in the Returns on Stocks and Bonds.”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33: 3–56.</w:t>
      </w:r>
    </w:p>
    <w:bookmarkEnd w:id="99"/>
    <w:bookmarkStart w:id="100" w:name="ref-green2017"/>
    <w:p>
      <w:pPr>
        <w:pStyle w:val="Bibliography"/>
      </w:pPr>
      <w:r>
        <w:t xml:space="preserve">Green, Jeremiah, John R. M. Hand, and X. Frank Zhang. 2017.</w:t>
      </w:r>
      <w:r>
        <w:t xml:space="preserve"> </w:t>
      </w:r>
      <w:r>
        <w:t xml:space="preserve">“The Characteristics That Provide Independent Information about Average</w:t>
      </w:r>
      <w:r>
        <w:t xml:space="preserve"> </w:t>
      </w:r>
      <w:r>
        <w:t xml:space="preserve">U.S.</w:t>
      </w:r>
      <w:r>
        <w:t xml:space="preserve"> </w:t>
      </w:r>
      <w:r>
        <w:t xml:space="preserve">Monthly Stock Returns.”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30 (12): 4389–436.</w:t>
      </w:r>
    </w:p>
    <w:bookmarkEnd w:id="100"/>
    <w:bookmarkStart w:id="101" w:name="ref-grinold2000"/>
    <w:p>
      <w:pPr>
        <w:pStyle w:val="Bibliography"/>
      </w:pPr>
      <w:r>
        <w:t xml:space="preserve">Grinold, Richard C., and Ronald N. Kahn. 2000.</w:t>
      </w:r>
      <w:r>
        <w:t xml:space="preserve"> </w:t>
      </w:r>
      <w:r>
        <w:rPr>
          <w:i/>
          <w:iCs/>
        </w:rPr>
        <w:t xml:space="preserve">Active Portfolio Management</w:t>
      </w:r>
      <w:r>
        <w:t xml:space="preserve">. 2nd ed. 2nd ed.</w:t>
      </w:r>
    </w:p>
    <w:bookmarkEnd w:id="101"/>
    <w:bookmarkStart w:id="102" w:name="ref-gu2020"/>
    <w:p>
      <w:pPr>
        <w:pStyle w:val="Bibliography"/>
      </w:pPr>
      <w:r>
        <w:t xml:space="preserve">Gu, Shihao, Bryan Kelly, and Dacheng Xiu. 2020.</w:t>
      </w:r>
      <w:r>
        <w:t xml:space="preserve"> </w:t>
      </w:r>
      <w:r>
        <w:t xml:space="preserve">“Empirical Asset Pricing via Machine Learning.”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33: 2223–73.</w:t>
      </w:r>
    </w:p>
    <w:bookmarkEnd w:id="102"/>
    <w:bookmarkStart w:id="103" w:name="ref-jorion1996"/>
    <w:p>
      <w:pPr>
        <w:pStyle w:val="Bibliography"/>
      </w:pPr>
      <w:r>
        <w:t xml:space="preserve">Jorion, Philippe. 1996.</w:t>
      </w:r>
      <w:r>
        <w:t xml:space="preserve"> </w:t>
      </w:r>
      <w:r>
        <w:t xml:space="preserve">“Value at Risk: A New Benchmark for Measuring Derivatives Risk.”</w:t>
      </w:r>
      <w:r>
        <w:t xml:space="preserve"> </w:t>
      </w:r>
      <w:r>
        <w:rPr>
          <w:i/>
          <w:iCs/>
        </w:rPr>
        <w:t xml:space="preserve">Risk Magazine</w:t>
      </w:r>
      <w:r>
        <w:t xml:space="preserve"> </w:t>
      </w:r>
      <w:r>
        <w:t xml:space="preserve">9 (10): 49–56.</w:t>
      </w:r>
    </w:p>
    <w:bookmarkEnd w:id="103"/>
    <w:bookmarkStart w:id="105" w:name="ref-kelly2023characteristics"/>
    <w:p>
      <w:pPr>
        <w:pStyle w:val="Bibliography"/>
      </w:pPr>
      <w:r>
        <w:t xml:space="preserve">Kelley, Eric K., and Kelly Jiang. 2023.</w:t>
      </w:r>
      <w:r>
        <w:t xml:space="preserve"> </w:t>
      </w:r>
      <w:r>
        <w:t xml:space="preserve">“Characteristics Are Covariances: A Unified Rational Framework for the Cross-Section of Stock Returns.”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131 (9): 2449–502.</w:t>
      </w:r>
      <w:r>
        <w:t xml:space="preserve"> </w:t>
      </w:r>
      <w:hyperlink r:id="rId104">
        <w:r>
          <w:rPr>
            <w:rStyle w:val="Hyperlink"/>
          </w:rPr>
          <w:t xml:space="preserve">https://doi.org/10.1086/724041</w:t>
        </w:r>
      </w:hyperlink>
      <w:r>
        <w:t xml:space="preserve">.</w:t>
      </w:r>
    </w:p>
    <w:bookmarkEnd w:id="105"/>
    <w:bookmarkStart w:id="106" w:name="ref-liu2019"/>
    <w:p>
      <w:pPr>
        <w:pStyle w:val="Bibliography"/>
      </w:pPr>
      <w:r>
        <w:t xml:space="preserve">Liu, Jianan, Robert F. Stambaugh, and Yu Yuan. 2019.</w:t>
      </w:r>
      <w:r>
        <w:t xml:space="preserve"> </w:t>
      </w:r>
      <w:r>
        <w:t xml:space="preserve">“Size and Value in China.”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134: 48–69.</w:t>
      </w:r>
    </w:p>
    <w:bookmarkEnd w:id="106"/>
    <w:bookmarkStart w:id="107" w:name="ref-liu2022review"/>
    <w:p>
      <w:pPr>
        <w:pStyle w:val="Bibliography"/>
      </w:pPr>
      <w:r>
        <w:t xml:space="preserve">Liu, Li, and Tianyi Ma. 2022.</w:t>
      </w:r>
      <w:r>
        <w:t xml:space="preserve"> </w:t>
      </w:r>
      <w:r>
        <w:t xml:space="preserve">“A Comprehensive Review of Asset Pricing Anomalies in the Chinese Stock Market.”</w:t>
      </w:r>
      <w:r>
        <w:t xml:space="preserve"> </w:t>
      </w:r>
      <w:r>
        <w:rPr>
          <w:i/>
          <w:iCs/>
        </w:rPr>
        <w:t xml:space="preserve">Pacific-Basin Finance Journal</w:t>
      </w:r>
      <w:r>
        <w:t xml:space="preserve"> </w:t>
      </w:r>
      <w:r>
        <w:t xml:space="preserve">74: 101817.</w:t>
      </w:r>
    </w:p>
    <w:bookmarkEnd w:id="107"/>
    <w:bookmarkStart w:id="108" w:name="ref-novy-marx2013"/>
    <w:p>
      <w:pPr>
        <w:pStyle w:val="Bibliography"/>
      </w:pPr>
      <w:r>
        <w:t xml:space="preserve">Novy-Marx, Robert. 2013.</w:t>
      </w:r>
      <w:r>
        <w:t xml:space="preserve"> </w:t>
      </w:r>
      <w:r>
        <w:t xml:space="preserve">“The Other Side of Value: The Gross Profitability Premium.”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108 (1): 1–28.</w:t>
      </w:r>
    </w:p>
    <w:bookmarkEnd w:id="108"/>
    <w:bookmarkStart w:id="109" w:name="ref-prado2018"/>
    <w:p>
      <w:pPr>
        <w:pStyle w:val="Bibliography"/>
      </w:pPr>
      <w:r>
        <w:t xml:space="preserve">Prado, Marcos Lopez de. 2018.</w:t>
      </w:r>
      <w:r>
        <w:t xml:space="preserve"> </w:t>
      </w:r>
      <w:r>
        <w:rPr>
          <w:i/>
          <w:iCs/>
        </w:rPr>
        <w:t xml:space="preserve">Advances in Financial Machine Learning</w:t>
      </w:r>
      <w:r>
        <w:t xml:space="preserve">.</w:t>
      </w:r>
    </w:p>
    <w:bookmarkEnd w:id="109"/>
    <w:bookmarkStart w:id="110" w:name="ref-qian2015"/>
    <w:p>
      <w:pPr>
        <w:pStyle w:val="Bibliography"/>
      </w:pPr>
      <w:r>
        <w:t xml:space="preserve">Qian, Edward, Ronald Hua, and Eric Sorensen. 2015.</w:t>
      </w:r>
      <w:r>
        <w:t xml:space="preserve"> </w:t>
      </w:r>
      <w:r>
        <w:t xml:space="preserve">“Quantitative Equity Portfolio Management: Modern Techniques and Applications.”</w:t>
      </w:r>
      <w:r>
        <w:t xml:space="preserve"> </w:t>
      </w:r>
      <w:r>
        <w:rPr>
          <w:i/>
          <w:iCs/>
        </w:rPr>
        <w:t xml:space="preserve">CRC Press</w:t>
      </w:r>
      <w:r>
        <w:t xml:space="preserve">.</w:t>
      </w:r>
    </w:p>
    <w:bookmarkEnd w:id="110"/>
    <w:bookmarkStart w:id="111" w:name="ref-rockafellar2000"/>
    <w:p>
      <w:pPr>
        <w:pStyle w:val="Bibliography"/>
      </w:pPr>
      <w:r>
        <w:t xml:space="preserve">Rockafellar, R. Tyrrell, and Stanislav Uryasev. 2000.</w:t>
      </w:r>
      <w:r>
        <w:t xml:space="preserve"> </w:t>
      </w:r>
      <w:r>
        <w:t xml:space="preserve">“Optimization of Conditional Value-at-Risk.”</w:t>
      </w:r>
      <w:r>
        <w:t xml:space="preserve"> </w:t>
      </w:r>
      <w:r>
        <w:rPr>
          <w:i/>
          <w:iCs/>
        </w:rPr>
        <w:t xml:space="preserve">Journal of Risk</w:t>
      </w:r>
      <w:r>
        <w:t xml:space="preserve"> </w:t>
      </w:r>
      <w:r>
        <w:t xml:space="preserve">2 (3): 21–41.</w:t>
      </w:r>
    </w:p>
    <w:bookmarkEnd w:id="111"/>
    <w:bookmarkStart w:id="112" w:name="ref-rosenberg1974"/>
    <w:p>
      <w:pPr>
        <w:pStyle w:val="Bibliography"/>
      </w:pPr>
      <w:r>
        <w:t xml:space="preserve">Rosenberg, Barr, and Walt McKibben. 1974.</w:t>
      </w:r>
      <w:r>
        <w:t xml:space="preserve"> </w:t>
      </w:r>
      <w:r>
        <w:t xml:space="preserve">“The Prediction of Systematic and Specific Risk in Common Stocks.”</w:t>
      </w:r>
      <w:r>
        <w:t xml:space="preserve"> </w:t>
      </w:r>
      <w:r>
        <w:rPr>
          <w:i/>
          <w:iCs/>
        </w:rPr>
        <w:t xml:space="preserve">Journal of Financial and Quantitative Analysis</w:t>
      </w:r>
      <w:r>
        <w:t xml:space="preserve"> </w:t>
      </w:r>
      <w:r>
        <w:t xml:space="preserve">9 (2): 317–33.</w:t>
      </w:r>
    </w:p>
    <w:bookmarkEnd w:id="112"/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4" Target="https://doi.org/10.1086/724041" TargetMode="External" /><Relationship Type="http://schemas.openxmlformats.org/officeDocument/2006/relationships/hyperlink" Id="rId96" Target="https://doi.org/10.1111/jofi.12924" TargetMode="External" /><Relationship Type="http://schemas.openxmlformats.org/officeDocument/2006/relationships/hyperlink" Id="rId89" Target="https://doi.org/10.3905/jpm.2016.42.4.010" TargetMode="External" /><Relationship Type="http://schemas.openxmlformats.org/officeDocument/2006/relationships/hyperlink" Id="rId93" Target="https://doi.org/10.3905/jpm.2020.1.145" TargetMode="External" /><Relationship Type="http://schemas.openxmlformats.org/officeDocument/2006/relationships/hyperlink" Id="rId71" Target="https://github.com/RomanCohort/Collegiu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doi.org/10.1086/724041" TargetMode="External" /><Relationship Type="http://schemas.openxmlformats.org/officeDocument/2006/relationships/hyperlink" Id="rId96" Target="https://doi.org/10.1111/jofi.12924" TargetMode="External" /><Relationship Type="http://schemas.openxmlformats.org/officeDocument/2006/relationships/hyperlink" Id="rId89" Target="https://doi.org/10.3905/jpm.2016.42.4.010" TargetMode="External" /><Relationship Type="http://schemas.openxmlformats.org/officeDocument/2006/relationships/hyperlink" Id="rId93" Target="https://doi.org/10.3905/jpm.2020.1.145" TargetMode="External" /><Relationship Type="http://schemas.openxmlformats.org/officeDocument/2006/relationships/hyperlink" Id="rId71" Target="https://github.com/RomanCohort/Collegiu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IC-Based Dynamic Factor Weighting: A Walk-Forward Validation on CSI 300</dc:title>
  <dc:creator>Ziyi Yan College of Computer Science and Technology, Jilin University yanzy8225@mails.jlu.edu.cn</dc:creator>
  <cp:keywords/>
  <dcterms:created xsi:type="dcterms:W3CDTF">2026-06-06T02:38:11Z</dcterms:created>
  <dcterms:modified xsi:type="dcterms:W3CDTF">2026-06-06T02:38:11Z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Factor effectiveness varies across market regimes, yet most multi-factor systems use static weights. We test an IC-based dynamic weighting approach on real CSI 300 data: 94 stocks, 1,212 trading days (2020-2024), walk-forward validation with realistic costs.The strategy returned 14.79% annually with 15.31% maximum drawdown. Sharpe ratio: 0.71. The Newey-West t-statistic is 1.750, yielding a two-tailed p-value of 0.085 (one-tailed: 0.0425). Take your pick on significance.We tested 10 factors. The 60-day momentum factor stood out: IC = +0.30, ICIR = 1.49, positive on 96% of trading days. This held through the 2022 bear market. The 20-day momentum showed IC = +0.22, ICIR = 1.22, 89% positive days. Short-term reversal confirmed mean reversion at the 5-day horizon.Methodologically, we implemented Newey-West HAC with Schwert automatic lag selection, used strict walk-forward out-of-sample validation, and disclosed all parameters. The code is public.For practitioners: IC-based dynamic weighting produced positive risk-adjusted returns across COVID-19, the 2021 bull run, the 2022 correction, and the 2023-2024 oscillation. The statistics are marginal by conventional thresholds, but the economic result (14.79% return, 15.31% drawdown) suggests practical value for Chinese A-share portfolio management.Keywords: Dynamic Factor Weighting, Information Coefficient, CSI 300, Walk-Forward Backtest, Newey-West HAC Statistics</vt:lpwstr>
  </property>
  <property fmtid="{D5CDD505-2E9C-101B-9397-08002B2CF9AE}" pid="3" name="bibliography">
    <vt:lpwstr>references.bib</vt:lpwstr>
  </property>
  <property fmtid="{D5CDD505-2E9C-101B-9397-08002B2CF9AE}" pid="4" name="date">
    <vt:lpwstr>2026-06-06</vt:lpwstr>
  </property>
</Properties>
</file>