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IC-Based Dynamic Factor Weighting: A Walk-Forward Validation on CSI 300</w:t>
      </w:r>
    </w:p>
    <w:p>
      <w:pPr>
        <w:pStyle w:val="Author"/>
      </w:pPr>
      <w:r>
        <w:t xml:space="preserve">Ziyi Yan</w:t>
      </w:r>
      <w:r>
        <w:br/>
      </w:r>
      <w:r>
        <w:rPr>
          <w:i/>
          <w:iCs/>
        </w:rPr>
        <w:t xml:space="preserve">College of Computer Science and Technology, Jilin University</w:t>
      </w:r>
      <w:r>
        <w:br/>
      </w:r>
      <w:r>
        <w:rPr>
          <w:rStyle w:val="VerbatimChar"/>
        </w:rPr>
        <w:t xml:space="preserve">yanzy8225@mails.jlu.edu.cn</w:t>
      </w:r>
    </w:p>
    <w:p>
      <w:pPr>
        <w:pStyle w:val="Date"/>
      </w:pPr>
      <w:r>
        <w:t xml:space="preserve">2026-06-06</w:t>
      </w:r>
    </w:p>
    <w:p>
      <w:pPr>
        <w:pStyle w:val="AbstractTitle"/>
      </w:pPr>
      <w:r>
        <w:t xml:space="preserve">Abstract</w:t>
      </w:r>
    </w:p>
    <w:p>
      <w:pPr>
        <w:pStyle w:val="Abstract"/>
      </w:pPr>
      <w:r>
        <w:t xml:space="preserve">Factor effectiveness varies across market regimes, yet most multi-factor systems use static weights. We test an IC-based dynamic weighting approach on real CSI 300 data: 94 stocks, 1,212 trading days (2020-2024), walk-forward validation with realistic costs.</w:t>
      </w:r>
    </w:p>
    <w:p>
      <w:pPr>
        <w:pStyle w:val="Abstract"/>
      </w:pPr>
      <w:r>
        <w:t xml:space="preserve">The strategy returned 14.79% annually with 15.31% maximum drawdown. Sharpe ratio: 0.71. The Newey-West t-statistic is 1.750, yielding a two-tailed p-value of 0.085 (one-tailed: 0.0425). Take your pick on significance.</w:t>
      </w:r>
    </w:p>
    <w:p>
      <w:pPr>
        <w:pStyle w:val="Abstract"/>
      </w:pPr>
      <w:r>
        <w:t xml:space="preserve">We tested 10 factors. The 60-day momentum factor stood out: IC = +0.30, ICIR = 1.49, positive on 96% of trading days. This held through the 2022 bear market. The 20-day momentum showed IC = +0.22, ICIR = 1.22, 89% positive days. Short-term reversal confirmed mean reversion at the 5-day horizon.</w:t>
      </w:r>
    </w:p>
    <w:p>
      <w:pPr>
        <w:pStyle w:val="Abstract"/>
      </w:pPr>
      <w:r>
        <w:t xml:space="preserve">Methodologically, we implemented Newey-West HAC with Schwert automatic lag selection, used strict walk-forward out-of-sample validation, and disclosed all parameters. The code is public.</w:t>
      </w:r>
    </w:p>
    <w:p>
      <w:pPr>
        <w:pStyle w:val="Abstract"/>
      </w:pPr>
      <w:r>
        <w:t xml:space="preserve">For practitioners: IC-based dynamic weighting produced positive risk-adjusted returns across COVID-19, the 2021 bull run, the 2022 correction, and the 2023-2024 oscillation. The statistics are marginal by conventional thresholds, but the economic result (14.79% return, 15.31% drawdown) suggests practical value for Chinese A-share portfolio management.</w:t>
      </w:r>
    </w:p>
    <w:p>
      <w:pPr>
        <w:pStyle w:val="Abstract"/>
      </w:pPr>
      <w:r>
        <w:rPr>
          <w:b/>
          <w:bCs/>
        </w:rPr>
        <w:t xml:space="preserve">Keywords:</w:t>
      </w:r>
      <w:r>
        <w:t xml:space="preserve"> </w:t>
      </w:r>
      <w:r>
        <w:t xml:space="preserve">Dynamic Factor Weighting, Information Coefficient, CSI 300, Walk-Forward Backtest, Newey-West HAC Statistics</w:t>
      </w:r>
    </w:p>
    <w:bookmarkStart w:id="14" w:name="sec:introduction"/>
    <w:p>
      <w:pPr>
        <w:pStyle w:val="Heading1"/>
      </w:pPr>
      <w:r>
        <w:t xml:space="preserve">Introduction</w:t>
      </w:r>
    </w:p>
    <w:bookmarkStart w:id="9" w:name="background-and-research-question"/>
    <w:p>
      <w:pPr>
        <w:pStyle w:val="Heading2"/>
      </w:pPr>
      <w:r>
        <w:t xml:space="preserve">Background and Research Question</w:t>
      </w:r>
    </w:p>
    <w:p>
      <w:pPr>
        <w:pStyle w:val="FirstParagraph"/>
      </w:pPr>
      <w:r>
        <w:t xml:space="preserve">Multi-factor asset pricing models have been foundational to quantitative equity investing since Fama and French </w:t>
      </w:r>
      <w:r>
        <w:t xml:space="preserve">(Fama and French 1993)</w:t>
      </w:r>
      <w:r>
        <w:t xml:space="preserve"> </w:t>
      </w:r>
      <w:r>
        <w:t xml:space="preserve">introduced their three-factor framework. A persistent challenge is determining optimal factor weights that adapt to changing market conditions.</w:t>
      </w:r>
    </w:p>
    <w:p>
      <w:pPr>
        <w:pStyle w:val="BodyText"/>
      </w:pPr>
      <w:r>
        <w:rPr>
          <w:b/>
          <w:bCs/>
        </w:rPr>
        <w:t xml:space="preserve">Research Question</w:t>
      </w:r>
      <w:r>
        <w:t xml:space="preserve">: Can Information Coefficient (IC)-based weighting provide a lightweight, interpretable approach to factor timing for Chinese A-share markets?</w:t>
      </w:r>
    </w:p>
    <w:bookmarkEnd w:id="9"/>
    <w:bookmarkStart w:id="10" w:name="data-statement"/>
    <w:p>
      <w:pPr>
        <w:pStyle w:val="Heading2"/>
      </w:pPr>
      <w:r>
        <w:t xml:space="preserve">Data Statement</w:t>
      </w:r>
    </w:p>
    <w:p>
      <w:pPr>
        <w:pStyle w:val="FirstParagraph"/>
      </w:pPr>
      <w:r>
        <w:rPr>
          <w:b/>
          <w:bCs/>
        </w:rPr>
        <w:t xml:space="preserve">Real Market Data</w:t>
      </w:r>
      <w:r>
        <w:t xml:space="preserve">: We obtained genuine CSI 300 market data via Baostock API:</w:t>
      </w:r>
    </w:p>
    <w:p>
      <w:pPr>
        <w:numPr>
          <w:ilvl w:val="0"/>
          <w:numId w:val="1001"/>
        </w:numPr>
      </w:pPr>
      <w:r>
        <w:t xml:space="preserve">94 constituent stocks</w:t>
      </w:r>
    </w:p>
    <w:p>
      <w:pPr>
        <w:numPr>
          <w:ilvl w:val="0"/>
          <w:numId w:val="1001"/>
        </w:numPr>
      </w:pPr>
      <w:r>
        <w:t xml:space="preserve">1,212 trading days (2020-01-01 to 2024-12-31)</w:t>
      </w:r>
    </w:p>
    <w:p>
      <w:pPr>
        <w:numPr>
          <w:ilvl w:val="0"/>
          <w:numId w:val="1001"/>
        </w:numPr>
      </w:pPr>
      <w:r>
        <w:t xml:space="preserve">Complete walk-forward backtest with realistic costs</w:t>
      </w:r>
    </w:p>
    <w:p>
      <w:pPr>
        <w:pStyle w:val="FirstParagraph"/>
      </w:pPr>
      <w:r>
        <w:t xml:space="preserve">All results in this paper are from real market data, not simulation.</w:t>
      </w:r>
    </w:p>
    <w:bookmarkEnd w:id="10"/>
    <w:bookmarkStart w:id="11" w:name="problem-statement"/>
    <w:p>
      <w:pPr>
        <w:pStyle w:val="Heading2"/>
      </w:pPr>
      <w:r>
        <w:t xml:space="preserve">Problem Statement</w:t>
      </w:r>
    </w:p>
    <w:p>
      <w:pPr>
        <w:pStyle w:val="FirstParagraph"/>
      </w:pPr>
      <w:r>
        <w:t xml:space="preserve">Factor ICs exhibit substantial temporal variation. Static weights calibrated over long horizons misallocate during regime transitions. We identify three limitations in existing approaches:</w:t>
      </w:r>
    </w:p>
    <w:p>
      <w:pPr>
        <w:pStyle w:val="BodyText"/>
      </w:pPr>
      <w:r>
        <w:rPr>
          <w:b/>
          <w:bCs/>
        </w:rPr>
        <w:t xml:space="preserve">First</w:t>
      </w:r>
      <w:r>
        <w:t xml:space="preserve">, static weights ignore IC temporal dynamics—fixed exposure during negative IC periods destroys alpha.</w:t>
      </w:r>
    </w:p>
    <w:p>
      <w:pPr>
        <w:pStyle w:val="BodyText"/>
      </w:pPr>
      <w:r>
        <w:rPr>
          <w:b/>
          <w:bCs/>
        </w:rPr>
        <w:t xml:space="preserve">Second</w:t>
      </w:r>
      <w:r>
        <w:t xml:space="preserve">, slow-adapting rules cannot respond to rapid regime changes (e.g., 2022 Chinese market correction).</w:t>
      </w:r>
    </w:p>
    <w:p>
      <w:pPr>
        <w:pStyle w:val="BodyText"/>
      </w:pPr>
      <w:r>
        <w:rPr>
          <w:b/>
          <w:bCs/>
        </w:rPr>
        <w:t xml:space="preserve">Third</w:t>
      </w:r>
      <w:r>
        <w:t xml:space="preserve">, regime-agnostic weighting fails to exploit conditional factor effectiveness.</w:t>
      </w:r>
    </w:p>
    <w:bookmarkEnd w:id="11"/>
    <w:bookmarkStart w:id="12" w:name="research-contribution"/>
    <w:p>
      <w:pPr>
        <w:pStyle w:val="Heading2"/>
      </w:pPr>
      <w:r>
        <w:t xml:space="preserve">Research Contribution</w:t>
      </w:r>
    </w:p>
    <w:p>
      <w:pPr>
        <w:pStyle w:val="FirstParagraph"/>
      </w:pPr>
      <w:r>
        <w:t xml:space="preserve">We propose an IC-based dynamic weighting methodology with three components:</w:t>
      </w:r>
    </w:p>
    <w:p>
      <w:pPr>
        <w:numPr>
          <w:ilvl w:val="0"/>
          <w:numId w:val="1002"/>
        </w:numPr>
      </w:pPr>
      <w:r>
        <w:rPr>
          <w:b/>
          <w:bCs/>
        </w:rPr>
        <w:t xml:space="preserve">Rolling IC Estimation</w:t>
      </w:r>
      <w:r>
        <w:t xml:space="preserve">: Capturing recent factor effectiveness</w:t>
      </w:r>
    </w:p>
    <w:p>
      <w:pPr>
        <w:numPr>
          <w:ilvl w:val="0"/>
          <w:numId w:val="1002"/>
        </w:numPr>
      </w:pPr>
      <w:r>
        <w:rPr>
          <w:b/>
          <w:bCs/>
        </w:rPr>
        <w:t xml:space="preserve">ICIR-Based Weighting</w:t>
      </w:r>
      <w:r>
        <w:t xml:space="preserve">: Emphasizing factors with stable predictability</w:t>
      </w:r>
    </w:p>
    <w:p>
      <w:pPr>
        <w:numPr>
          <w:ilvl w:val="0"/>
          <w:numId w:val="1002"/>
        </w:numPr>
      </w:pPr>
      <w:r>
        <w:rPr>
          <w:b/>
          <w:bCs/>
        </w:rPr>
        <w:t xml:space="preserve">Risk Control</w:t>
      </w:r>
      <w:r>
        <w:t xml:space="preserve">: Drawdown limits and volatility targeting</w:t>
      </w:r>
    </w:p>
    <w:p>
      <w:pPr>
        <w:pStyle w:val="FirstParagraph"/>
      </w:pPr>
      <w:r>
        <w:t xml:space="preserve">Our contributions include:</w:t>
      </w:r>
    </w:p>
    <w:p>
      <w:pPr>
        <w:numPr>
          <w:ilvl w:val="0"/>
          <w:numId w:val="1003"/>
        </w:numPr>
      </w:pPr>
      <w:r>
        <w:t xml:space="preserve">Real CSI 300 market data validation (94 stocks, 1,212 days)</w:t>
      </w:r>
    </w:p>
    <w:p>
      <w:pPr>
        <w:numPr>
          <w:ilvl w:val="0"/>
          <w:numId w:val="1003"/>
        </w:numPr>
      </w:pPr>
      <w:r>
        <w:t xml:space="preserve">Correct Newey-West HAC statistics with Schwert lag selection</w:t>
      </w:r>
    </w:p>
    <w:p>
      <w:pPr>
        <w:numPr>
          <w:ilvl w:val="0"/>
          <w:numId w:val="1003"/>
        </w:numPr>
      </w:pPr>
      <w:r>
        <w:t xml:space="preserve">Transparent reporting of marginal significance (p = 0.085)</w:t>
      </w:r>
    </w:p>
    <w:p>
      <w:pPr>
        <w:numPr>
          <w:ilvl w:val="0"/>
          <w:numId w:val="1003"/>
        </w:numPr>
      </w:pPr>
      <w:r>
        <w:t xml:space="preserve">Documented factor ICs: momentum ICIR = 1.49, 96% positive days</w:t>
      </w:r>
    </w:p>
    <w:p>
      <w:pPr>
        <w:pStyle w:val="FirstParagraph"/>
      </w:pPr>
      <w:r>
        <w:rPr>
          <w:b/>
          <w:bCs/>
        </w:rPr>
        <w:t xml:space="preserve">Main Result</w:t>
      </w:r>
      <w:r>
        <w:t xml:space="preserve">: The strategy achieves 14.79% annualized return with 15.31% maximum drawdown, Sharpe ratio 0.71, statistically marginal (p = 0.085) but economically meaningful.</w:t>
      </w:r>
    </w:p>
    <w:bookmarkEnd w:id="12"/>
    <w:bookmarkStart w:id="13" w:name="paper-organization"/>
    <w:p>
      <w:pPr>
        <w:pStyle w:val="Heading2"/>
      </w:pPr>
      <w:r>
        <w:t xml:space="preserve">Paper Organization</w:t>
      </w:r>
    </w:p>
    <w:p>
      <w:pPr>
        <w:pStyle w:val="FirstParagraph"/>
      </w:pPr>
      <w:r>
        <w:t xml:space="preserve">Section </w:t>
      </w:r>
      <w:hyperlink w:anchor="sec:related">
        <w:r>
          <w:rPr>
            <w:rStyle w:val="Hyperlink"/>
          </w:rPr>
          <w:t xml:space="preserve">2</w:t>
        </w:r>
      </w:hyperlink>
      <w:r>
        <w:t xml:space="preserve"> </w:t>
      </w:r>
      <w:r>
        <w:t xml:space="preserve">reviews related work. Section </w:t>
      </w:r>
      <w:hyperlink w:anchor="sec:methodology">
        <w:r>
          <w:rPr>
            <w:rStyle w:val="Hyperlink"/>
          </w:rPr>
          <w:t xml:space="preserve">3</w:t>
        </w:r>
      </w:hyperlink>
      <w:r>
        <w:t xml:space="preserve"> </w:t>
      </w:r>
      <w:r>
        <w:t xml:space="preserve">presents the IC-based weighting framework. Section </w:t>
      </w:r>
      <w:hyperlink w:anchor="sec:results">
        <w:r>
          <w:rPr>
            <w:rStyle w:val="Hyperlink"/>
          </w:rPr>
          <w:t xml:space="preserve">5</w:t>
        </w:r>
      </w:hyperlink>
      <w:r>
        <w:t xml:space="preserve"> </w:t>
      </w:r>
      <w:r>
        <w:t xml:space="preserve">presents real data results. Section </w:t>
      </w:r>
      <w:hyperlink w:anchor="sec:discussion">
        <w:r>
          <w:rPr>
            <w:rStyle w:val="Hyperlink"/>
          </w:rPr>
          <w:t xml:space="preserve">6</w:t>
        </w:r>
      </w:hyperlink>
      <w:r>
        <w:t xml:space="preserve"> </w:t>
      </w:r>
      <w:r>
        <w:t xml:space="preserve">discusses implications and limitations. Section </w:t>
      </w:r>
      <w:hyperlink w:anchor="sec:conclusion">
        <w:r>
          <w:rPr>
            <w:rStyle w:val="Hyperlink"/>
          </w:rPr>
          <w:t xml:space="preserve">7</w:t>
        </w:r>
      </w:hyperlink>
      <w:r>
        <w:t xml:space="preserve"> </w:t>
      </w:r>
      <w:r>
        <w:t xml:space="preserve">concludes with recommendations.</w:t>
      </w:r>
    </w:p>
    <w:bookmarkEnd w:id="13"/>
    <w:bookmarkEnd w:id="14"/>
    <w:bookmarkStart w:id="22" w:name="sec:related"/>
    <w:p>
      <w:pPr>
        <w:pStyle w:val="Heading1"/>
      </w:pPr>
      <w:r>
        <w:t xml:space="preserve">Related Work</w:t>
      </w:r>
    </w:p>
    <w:bookmarkStart w:id="15" w:name="static-factor-weighting-approaches"/>
    <w:p>
      <w:pPr>
        <w:pStyle w:val="Heading2"/>
      </w:pPr>
      <w:r>
        <w:t xml:space="preserve">Static Factor Weighting Approaches</w:t>
      </w:r>
    </w:p>
    <w:p>
      <w:pPr>
        <w:pStyle w:val="FirstParagraph"/>
      </w:pPr>
      <w:r>
        <w:t xml:space="preserve">Traditional multi-factor models employ fixed weights determined through optimization over long historical periods. Fama and French </w:t>
      </w:r>
      <w:r>
        <w:t xml:space="preserve">(Fama and French 1993)</w:t>
      </w:r>
      <w:r>
        <w:t xml:space="preserve"> </w:t>
      </w:r>
      <w:r>
        <w:t xml:space="preserve">used equal-weighted factor portfolios in their original three-factor specification. Commercial platforms such as Barra </w:t>
      </w:r>
      <w:r>
        <w:t xml:space="preserve">(Rosenberg and McKibben 1974)</w:t>
      </w:r>
      <w:r>
        <w:t xml:space="preserve"> </w:t>
      </w:r>
      <w:r>
        <w:t xml:space="preserve">and MSCI derive factor weights through risk model optimization, minimizing tracking error subject to factor exposure constraints.</w:t>
      </w:r>
    </w:p>
    <w:p>
      <w:pPr>
        <w:pStyle w:val="BodyText"/>
      </w:pPr>
      <w:r>
        <w:t xml:space="preserve">Gu et al. </w:t>
      </w:r>
      <w:r>
        <w:t xml:space="preserve">(Gu et al. 2020)</w:t>
      </w:r>
      <w:r>
        <w:t xml:space="preserve"> </w:t>
      </w:r>
      <w:r>
        <w:t xml:space="preserve">compared multiple machine learning methods for return prediction, finding that neural networks significantly outperform linear methods. However, their focus was prediction accuracy rather than adaptive weighting. Green et al. </w:t>
      </w:r>
      <w:r>
        <w:t xml:space="preserve">(Green et al. 2017)</w:t>
      </w:r>
      <w:r>
        <w:t xml:space="preserve"> </w:t>
      </w:r>
      <w:r>
        <w:t xml:space="preserve">documented substantial factor IC variation across time, motivating dynamic weighting but not implementing a systematic methodology.</w:t>
      </w:r>
    </w:p>
    <w:bookmarkEnd w:id="15"/>
    <w:bookmarkStart w:id="16" w:name="factor-timing-and-momentum"/>
    <w:p>
      <w:pPr>
        <w:pStyle w:val="Heading2"/>
      </w:pPr>
      <w:r>
        <w:t xml:space="preserve">Factor Timing and Momentum</w:t>
      </w:r>
    </w:p>
    <w:p>
      <w:pPr>
        <w:pStyle w:val="FirstParagraph"/>
      </w:pPr>
      <w:r>
        <w:t xml:space="preserve">The factor timing literature provides theoretical foundations for adaptive factor weighting:</w:t>
      </w:r>
    </w:p>
    <w:p>
      <w:pPr>
        <w:pStyle w:val="BodyText"/>
      </w:pPr>
      <w:r>
        <w:rPr>
          <w:b/>
          <w:bCs/>
        </w:rPr>
        <w:t xml:space="preserve">Factor Timing</w:t>
      </w:r>
      <w:r>
        <w:t xml:space="preserve">: Arnott et al. </w:t>
      </w:r>
      <w:r>
        <w:t xml:space="preserve">(Arnott et al. 2016)</w:t>
      </w:r>
      <w:r>
        <w:t xml:space="preserve"> </w:t>
      </w:r>
      <w:r>
        <w:t xml:space="preserve">demonstrated that factor premiums exhibit predictable variation, challenging the efficient market hypothesis that factor returns are purely random. Their analysis showed that valuation-based timing signals can forecast factor returns, though with substantial noise. Cohen et al. </w:t>
      </w:r>
      <w:r>
        <w:t xml:space="preserve">(Cohen et al. 2020)</w:t>
      </w:r>
      <w:r>
        <w:t xml:space="preserve"> </w:t>
      </w:r>
      <w:r>
        <w:t xml:space="preserve">established theoretical bounds on factor timing profitability, showing that while perfect timing is impossible, economically meaningful timing is achievable.</w:t>
      </w:r>
    </w:p>
    <w:p>
      <w:pPr>
        <w:pStyle w:val="BodyText"/>
      </w:pPr>
      <w:r>
        <w:rPr>
          <w:b/>
          <w:bCs/>
        </w:rPr>
        <w:t xml:space="preserve">Factor Momentum</w:t>
      </w:r>
      <w:r>
        <w:t xml:space="preserve">: Blitz et al. </w:t>
      </w:r>
      <w:r>
        <w:t xml:space="preserve">(Blitz et al. 2020)</w:t>
      </w:r>
      <w:r>
        <w:t xml:space="preserve"> </w:t>
      </w:r>
      <w:r>
        <w:t xml:space="preserve">documented that factor returns exhibit momentum—factors that have performed well recently tend to continue performing well. This finding directly supports IC-based weighting: high recent IC indicates recent factor effectiveness, which tends to persist. Their work provides empirical justification for the exponential decay weighting we employ.</w:t>
      </w:r>
    </w:p>
    <w:p>
      <w:pPr>
        <w:pStyle w:val="BodyText"/>
      </w:pPr>
      <w:r>
        <w:rPr>
          <w:b/>
          <w:bCs/>
        </w:rPr>
        <w:t xml:space="preserve">IC as Timing Signal</w:t>
      </w:r>
      <w:r>
        <w:t xml:space="preserve">: Kelly and Jiang </w:t>
      </w:r>
      <w:r>
        <w:t xml:space="preserve">(Kelley and Jiang 2023)</w:t>
      </w:r>
      <w:r>
        <w:t xml:space="preserve"> </w:t>
      </w:r>
      <w:r>
        <w:t xml:space="preserve">established that firm characteristics proxy for covariance risk, providing theoretical interpretation of IC as a measure of factor-risk premium predictability. This frames IC-based weighting as a lightweight factor timing implementation.</w:t>
      </w:r>
    </w:p>
    <w:bookmarkEnd w:id="16"/>
    <w:bookmarkStart w:id="17" w:name="adaptive-factor-weighting"/>
    <w:p>
      <w:pPr>
        <w:pStyle w:val="Heading2"/>
      </w:pPr>
      <w:r>
        <w:t xml:space="preserve">Adaptive Factor Weighting</w:t>
      </w:r>
    </w:p>
    <w:p>
      <w:pPr>
        <w:pStyle w:val="FirstParagraph"/>
      </w:pPr>
      <w:r>
        <w:t xml:space="preserve">Several approaches have been proposed for time-varying factor weights:</w:t>
      </w:r>
    </w:p>
    <w:p>
      <w:pPr>
        <w:pStyle w:val="BodyText"/>
      </w:pPr>
      <w:r>
        <w:rPr>
          <w:b/>
          <w:bCs/>
        </w:rPr>
        <w:t xml:space="preserve">IC-Based Weighting</w:t>
      </w:r>
      <w:r>
        <w:t xml:space="preserve">: The Information Coefficient, computed as Spearman rank correlation between factor values and forward returns, provides a direct measure of factor predictive effectiveness. Rolling IC estimates have been used to identify factor crowding </w:t>
      </w:r>
      <w:r>
        <w:t xml:space="preserve">(Qian et al. 2015)</w:t>
      </w:r>
      <w:r>
        <w:t xml:space="preserve"> </w:t>
      </w:r>
      <w:r>
        <w:t xml:space="preserve">and to adjust exposures </w:t>
      </w:r>
      <w:r>
        <w:t xml:space="preserve">(Grinold and Kahn 2000)</w:t>
      </w:r>
      <w:r>
        <w:t xml:space="preserve">. However, prior work has not systematically validated IC-based weighting through walk-forward testing or documented regime-dependent decay parameters.</w:t>
      </w:r>
    </w:p>
    <w:p>
      <w:pPr>
        <w:pStyle w:val="BodyText"/>
      </w:pPr>
      <w:r>
        <w:rPr>
          <w:b/>
          <w:bCs/>
        </w:rPr>
        <w:t xml:space="preserve">Risk Model Optimization</w:t>
      </w:r>
      <w:r>
        <w:t xml:space="preserve">: Minimum variance and risk parity approaches adjust factor weights based on volatility and correlation forecasts </w:t>
      </w:r>
      <w:r>
        <w:t xml:space="preserve">(Clarke et al. 2016)</w:t>
      </w:r>
      <w:r>
        <w:t xml:space="preserve">. These methods prioritize risk reduction rather than alpha maximization and do not explicitly incorporate IC dynamics.</w:t>
      </w:r>
    </w:p>
    <w:p>
      <w:pPr>
        <w:pStyle w:val="BodyText"/>
      </w:pPr>
      <w:r>
        <w:rPr>
          <w:b/>
          <w:bCs/>
        </w:rPr>
        <w:t xml:space="preserve">Machine Learning Approaches</w:t>
      </w:r>
      <w:r>
        <w:t xml:space="preserve">: Neural networks have been applied to factor weighting </w:t>
      </w:r>
      <w:r>
        <w:t xml:space="preserve">(Gu et al. 2020)</w:t>
      </w:r>
      <w:r>
        <w:t xml:space="preserve">, treating weights as learnable parameters. While achieving high in-sample fit, these approaches suffer from overfitting and lack interpretability—the learned weights cannot be explained in terms of factor effectiveness metrics.</w:t>
      </w:r>
    </w:p>
    <w:bookmarkEnd w:id="17"/>
    <w:bookmarkStart w:id="18" w:name="regime-dependent-factor-effectiveness"/>
    <w:p>
      <w:pPr>
        <w:pStyle w:val="Heading2"/>
      </w:pPr>
      <w:r>
        <w:t xml:space="preserve">Regime-Dependent Factor Effectiveness</w:t>
      </w:r>
    </w:p>
    <w:p>
      <w:pPr>
        <w:pStyle w:val="FirstParagraph"/>
      </w:pPr>
      <w:r>
        <w:t xml:space="preserve">Academic literature documents regime-dependent factor returns:</w:t>
      </w:r>
    </w:p>
    <w:p>
      <w:pPr>
        <w:pStyle w:val="BodyText"/>
      </w:pPr>
      <w:r>
        <w:t xml:space="preserve">Asness et al. </w:t>
      </w:r>
      <w:r>
        <w:t xml:space="preserve">(Asness et al. 2013)</w:t>
      </w:r>
      <w:r>
        <w:t xml:space="preserve"> </w:t>
      </w:r>
      <w:r>
        <w:t xml:space="preserve">showed momentum factor returns are positive in trending markets but negative during reversals, with transition periods characterized by factor return crashes. Novy-Marx </w:t>
      </w:r>
      <w:r>
        <w:t xml:space="preserve">(Novy-Marx 2013)</w:t>
      </w:r>
      <w:r>
        <w:t xml:space="preserve"> </w:t>
      </w:r>
      <w:r>
        <w:t xml:space="preserve">documented quality factor effectiveness during economic downturns and market stress. Pastor and Stambaugh </w:t>
      </w:r>
      <w:r>
        <w:t xml:space="preserve">(Pastor and Stambaugh 2019)</w:t>
      </w:r>
      <w:r>
        <w:t xml:space="preserve"> </w:t>
      </w:r>
      <w:r>
        <w:t xml:space="preserve">demonstrated liquidity factor importance during funding constraint periods.</w:t>
      </w:r>
    </w:p>
    <w:p>
      <w:pPr>
        <w:pStyle w:val="BodyText"/>
      </w:pPr>
      <w:r>
        <w:t xml:space="preserve">In Chinese markets, Liu et al. </w:t>
      </w:r>
      <w:r>
        <w:t xml:space="preserve">(Liu et al. 2019)</w:t>
      </w:r>
      <w:r>
        <w:t xml:space="preserve"> </w:t>
      </w:r>
      <w:r>
        <w:t xml:space="preserve">identified distinct factor behaviors including reversed size effects and nuanced value premia. Liu and Ma </w:t>
      </w:r>
      <w:r>
        <w:t xml:space="preserve">(Liu and Ma 2022)</w:t>
      </w:r>
      <w:r>
        <w:t xml:space="preserve"> </w:t>
      </w:r>
      <w:r>
        <w:t xml:space="preserve">reviewed factor investing in China, noting higher volatility and more frequent regime transitions compared to developed markets.</w:t>
      </w:r>
    </w:p>
    <w:bookmarkEnd w:id="18"/>
    <w:bookmarkStart w:id="19" w:name="walk-forward-validation-in-finance"/>
    <w:p>
      <w:pPr>
        <w:pStyle w:val="Heading2"/>
      </w:pPr>
      <w:r>
        <w:t xml:space="preserve">Walk-Forward Validation in Finance</w:t>
      </w:r>
    </w:p>
    <w:p>
      <w:pPr>
        <w:pStyle w:val="FirstParagraph"/>
      </w:pPr>
      <w:r>
        <w:t xml:space="preserve">Walk-forward optimization addresses overfitting concerns by ensuring strict separation between training and testing periods. Beggs and Chi </w:t>
      </w:r>
      <w:r>
        <w:t xml:space="preserve">(Beggs and Chi 2018)</w:t>
      </w:r>
      <w:r>
        <w:t xml:space="preserve"> </w:t>
      </w:r>
      <w:r>
        <w:t xml:space="preserve">demonstrated that walk-forward testing provides more realistic performance estimates than traditional backtesting. This methodology has been applied to trading strategy development </w:t>
      </w:r>
      <w:r>
        <w:t xml:space="preserve">(Arnold and Earl 2019)</w:t>
      </w:r>
      <w:r>
        <w:t xml:space="preserve"> </w:t>
      </w:r>
      <w:r>
        <w:t xml:space="preserve">and risk model validation </w:t>
      </w:r>
      <w:r>
        <w:t xml:space="preserve">(Prado 2018)</w:t>
      </w:r>
      <w:r>
        <w:t xml:space="preserve"> </w:t>
      </w:r>
      <w:r>
        <w:t xml:space="preserve">but not specifically to IC-based dynamic weighting.</w:t>
      </w:r>
    </w:p>
    <w:bookmarkEnd w:id="19"/>
    <w:bookmarkStart w:id="20" w:name="risk-management-in-factor-investing"/>
    <w:p>
      <w:pPr>
        <w:pStyle w:val="Heading2"/>
      </w:pPr>
      <w:r>
        <w:t xml:space="preserve">Risk Management in Factor Investing</w:t>
      </w:r>
    </w:p>
    <w:p>
      <w:pPr>
        <w:pStyle w:val="FirstParagraph"/>
      </w:pPr>
      <w:r>
        <w:t xml:space="preserve">DeMiguel et al. </w:t>
      </w:r>
      <w:r>
        <w:t xml:space="preserve">(DeMiguel et al. 2009)</w:t>
      </w:r>
      <w:r>
        <w:t xml:space="preserve"> </w:t>
      </w:r>
      <w:r>
        <w:t xml:space="preserve">showed that naive 1/N diversification often outperforms sophisticated optimization, highlighting the difficulty of estimating expected returns. Jorion </w:t>
      </w:r>
      <w:r>
        <w:t xml:space="preserve">(Jorion 1996)</w:t>
      </w:r>
      <w:r>
        <w:t xml:space="preserve"> </w:t>
      </w:r>
      <w:r>
        <w:t xml:space="preserve">and Rockafellar and Uryasev </w:t>
      </w:r>
      <w:r>
        <w:t xml:space="preserve">(Rockafellar and Uryasev 2000)</w:t>
      </w:r>
      <w:r>
        <w:t xml:space="preserve"> </w:t>
      </w:r>
      <w:r>
        <w:t xml:space="preserve">developed VaR and CVaR frameworks for downside risk management. We incorporate these insights through maximum drawdown constraints and volatility targeting.</w:t>
      </w:r>
    </w:p>
    <w:bookmarkEnd w:id="20"/>
    <w:bookmarkStart w:id="21" w:name="positioning-statement"/>
    <w:p>
      <w:pPr>
        <w:pStyle w:val="Heading2"/>
      </w:pPr>
      <w:r>
        <w:t xml:space="preserve">Positioning Statement</w:t>
      </w:r>
    </w:p>
    <w:p>
      <w:pPr>
        <w:pStyle w:val="FirstParagraph"/>
      </w:pPr>
      <w:r>
        <w:t xml:space="preserve">This paper differs from existing work in five respects:</w:t>
      </w:r>
    </w:p>
    <w:p>
      <w:pPr>
        <w:pStyle w:val="BodyText"/>
      </w:pPr>
      <w:r>
        <w:rPr>
          <w:b/>
          <w:bCs/>
        </w:rPr>
        <w:t xml:space="preserve">First</w:t>
      </w:r>
      <w:r>
        <w:t xml:space="preserve">, relative to static weighting approaches (Barra, MSCI), we implement real-time IC tracking with exponential decay rather than fixed weights based on multi-year averages. This captures regime-dependent effectiveness while maintaining stability through smoothing.</w:t>
      </w:r>
    </w:p>
    <w:p>
      <w:pPr>
        <w:pStyle w:val="BodyText"/>
      </w:pPr>
      <w:r>
        <w:rPr>
          <w:b/>
          <w:bCs/>
        </w:rPr>
        <w:t xml:space="preserve">Second</w:t>
      </w:r>
      <w:r>
        <w:t xml:space="preserve">, compared to machine learning weighting methods, we preserve interpretability—weights derive explicitly from observable IC metrics rather than black-box neural network outputs. Practitioners can explain weight changes in terms of factor performance deterioration or regime shifts.</w:t>
      </w:r>
    </w:p>
    <w:p>
      <w:pPr>
        <w:pStyle w:val="BodyText"/>
      </w:pPr>
      <w:r>
        <w:rPr>
          <w:b/>
          <w:bCs/>
        </w:rPr>
        <w:t xml:space="preserve">Third</w:t>
      </w:r>
      <w:r>
        <w:t xml:space="preserve">, we provide the first comprehensive walk-forward validation of IC-based weighting on Chinese A-shares, documenting regime-specific decay parameters and testing across multiple regime transitions including the 2022 market correction. Prior work on dynamic weighting has relied on in-sample fit or short backtest periods without strict out-of-sample separation.</w:t>
      </w:r>
    </w:p>
    <w:p>
      <w:pPr>
        <w:pStyle w:val="BodyText"/>
      </w:pPr>
      <w:r>
        <w:rPr>
          <w:b/>
          <w:bCs/>
        </w:rPr>
        <w:t xml:space="preserve">Fourth</w:t>
      </w:r>
      <w:r>
        <w:t xml:space="preserve">, we explicitly address the factor timing literature </w:t>
      </w:r>
      <w:r>
        <w:t xml:space="preserve">(Arnott et al. 2016; Blitz et al. 2020; Cohen et al. 2020)</w:t>
      </w:r>
      <w:r>
        <w:t xml:space="preserve"> </w:t>
      </w:r>
      <w:r>
        <w:t xml:space="preserve">by framing IC-based weighting as a lightweight, interpretable implementation of factor timing, with theoretical support from the factor momentum literature.</w:t>
      </w:r>
    </w:p>
    <w:p>
      <w:pPr>
        <w:pStyle w:val="BodyText"/>
      </w:pPr>
      <w:r>
        <w:rPr>
          <w:b/>
          <w:bCs/>
        </w:rPr>
        <w:t xml:space="preserve">Fifth</w:t>
      </w:r>
      <w:r>
        <w:t xml:space="preserve">, we integrate risk control mechanisms (drawdown constraints, volatility targeting, regime-based deleveraging) that address practical deployment concerns identified by DeMiguel et al. </w:t>
      </w:r>
      <w:r>
        <w:t xml:space="preserve">(DeMiguel et al. 2009)</w:t>
      </w:r>
      <w:r>
        <w:t xml:space="preserve"> </w:t>
      </w:r>
      <w:r>
        <w:t xml:space="preserve">and institutional risk management standards.</w:t>
      </w:r>
    </w:p>
    <w:bookmarkEnd w:id="21"/>
    <w:bookmarkEnd w:id="22"/>
    <w:bookmarkStart w:id="39" w:name="sec:methodology"/>
    <w:p>
      <w:pPr>
        <w:pStyle w:val="Heading1"/>
      </w:pPr>
      <w:r>
        <w:t xml:space="preserve">Methodology</w:t>
      </w:r>
    </w:p>
    <w:bookmarkStart w:id="23" w:name="overview"/>
    <w:p>
      <w:pPr>
        <w:pStyle w:val="Heading2"/>
      </w:pPr>
      <w:r>
        <w:t xml:space="preserve">Overview</w:t>
      </w:r>
    </w:p>
    <w:p>
      <w:pPr>
        <w:pStyle w:val="FirstParagraph"/>
      </w:pPr>
      <w:r>
        <w:t xml:space="preserve">We propose an IC-based dynamic factor weighting framework that adapts factor exposures based on time-varying effectiveness estimates conditioned on detected market regimes. The methodology consists of four components: (1) rolling IC estimation with exponential decay, (2) regime detection and conditional multipliers, (3) walk-forward optimization for out-of-sample validation, and (4) risk control constraints for practical deployment.</w:t>
      </w:r>
    </w:p>
    <w:bookmarkEnd w:id="23"/>
    <w:bookmarkStart w:id="25" w:name="factor-library"/>
    <w:p>
      <w:pPr>
        <w:pStyle w:val="Heading2"/>
      </w:pPr>
      <w:r>
        <w:t xml:space="preserve">Factor Library</w:t>
      </w:r>
    </w:p>
    <w:p>
      <w:pPr>
        <w:pStyle w:val="FirstParagraph"/>
      </w:pPr>
      <w:r>
        <w:t xml:space="preserve">We design a comprehensive factor library comprising 25 predictive signals organized into five categories. In this study, we implement 10 core factors for validation, with the full 25-factor framework detailed in Appendix </w:t>
      </w:r>
      <w:hyperlink w:anchor="sec:factor_appendix">
        <w:r>
          <w:rPr>
            <w:rStyle w:val="Hyperlink"/>
          </w:rPr>
          <w:t xml:space="preserve">8</w:t>
        </w:r>
      </w:hyperlink>
      <w:r>
        <w:t xml:space="preserve">.</w:t>
      </w:r>
    </w:p>
    <w:bookmarkStart w:id="24" w:name="tab:factors"/>
    <w:p>
      <w:pPr>
        <w:pStyle w:val="TableCaption"/>
      </w:pPr>
      <w:r>
        <w:t xml:space="preserve">Core Factors Implemented in This Study (10 of 25)</w:t>
      </w:r>
    </w:p>
    <w:tbl>
      <w:tblPr>
        <w:tblStyle w:val="Table"/>
        <w:tblW w:type="auto" w:w="0"/>
        <w:tblLook w:firstRow="1" w:lastRow="0" w:firstColumn="0" w:lastColumn="0" w:noHBand="0" w:noVBand="0" w:val="0020"/>
        <w:tblCaption w:val="Core Factors Implemented in This Study (10 of 25)"/>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Factors</w:t>
            </w:r>
          </w:p>
        </w:tc>
        <w:tc>
          <w:tcPr/>
          <w:p>
            <w:pPr>
              <w:pStyle w:val="Compact"/>
              <w:jc w:val="center"/>
            </w:pPr>
            <w:r>
              <w:t xml:space="preserve">Count</w:t>
            </w:r>
          </w:p>
        </w:tc>
      </w:tr>
      <w:tr>
        <w:tc>
          <w:tcPr/>
          <w:p>
            <w:pPr>
              <w:pStyle w:val="Compact"/>
              <w:jc w:val="left"/>
            </w:pPr>
            <w:r>
              <w:t xml:space="preserve">Momentum</w:t>
            </w:r>
          </w:p>
        </w:tc>
        <w:tc>
          <w:tcPr/>
          <w:p>
            <w:pPr>
              <w:pStyle w:val="Compact"/>
              <w:jc w:val="left"/>
            </w:pPr>
            <w:r>
              <w:t xml:space="preserve">return_20d, return_60d, return_120d, ma_return_20d, momentum_12m</w:t>
            </w:r>
          </w:p>
        </w:tc>
        <w:tc>
          <w:tcPr/>
          <w:p>
            <w:pPr>
              <w:pStyle w:val="Compact"/>
              <w:jc w:val="center"/>
            </w:pPr>
            <w:r>
              <w:t xml:space="preserve">5</w:t>
            </w:r>
          </w:p>
        </w:tc>
      </w:tr>
      <w:tr>
        <w:tc>
          <w:tcPr/>
          <w:p>
            <w:pPr>
              <w:pStyle w:val="Compact"/>
              <w:jc w:val="left"/>
            </w:pPr>
            <w:r>
              <w:t xml:space="preserve">Reversal</w:t>
            </w:r>
          </w:p>
        </w:tc>
        <w:tc>
          <w:tcPr/>
          <w:p>
            <w:pPr>
              <w:pStyle w:val="Compact"/>
              <w:jc w:val="left"/>
            </w:pPr>
            <w:r>
              <w:t xml:space="preserve">reversal_5d, reversal_20d</w:t>
            </w:r>
          </w:p>
        </w:tc>
        <w:tc>
          <w:tcPr/>
          <w:p>
            <w:pPr>
              <w:pStyle w:val="Compact"/>
              <w:jc w:val="center"/>
            </w:pPr>
            <w:r>
              <w:t xml:space="preserve">2</w:t>
            </w:r>
          </w:p>
        </w:tc>
      </w:tr>
      <w:tr>
        <w:tc>
          <w:tcPr/>
          <w:p>
            <w:pPr>
              <w:pStyle w:val="Compact"/>
              <w:jc w:val="left"/>
            </w:pPr>
            <w:r>
              <w:t xml:space="preserve">Volatility</w:t>
            </w:r>
          </w:p>
        </w:tc>
        <w:tc>
          <w:tcPr/>
          <w:p>
            <w:pPr>
              <w:pStyle w:val="Compact"/>
              <w:jc w:val="left"/>
            </w:pPr>
            <w:r>
              <w:t xml:space="preserve">volatility_20d, volatility_60d</w:t>
            </w:r>
          </w:p>
        </w:tc>
        <w:tc>
          <w:tcPr/>
          <w:p>
            <w:pPr>
              <w:pStyle w:val="Compact"/>
              <w:jc w:val="center"/>
            </w:pPr>
            <w:r>
              <w:t xml:space="preserve">2</w:t>
            </w:r>
          </w:p>
        </w:tc>
      </w:tr>
      <w:tr>
        <w:tc>
          <w:tcPr/>
          <w:p>
            <w:pPr>
              <w:pStyle w:val="Compact"/>
              <w:jc w:val="left"/>
            </w:pPr>
            <w:r>
              <w:t xml:space="preserve">Liquidity</w:t>
            </w:r>
          </w:p>
        </w:tc>
        <w:tc>
          <w:tcPr/>
          <w:p>
            <w:pPr>
              <w:pStyle w:val="Compact"/>
              <w:jc w:val="left"/>
            </w:pPr>
            <w:r>
              <w:t xml:space="preserve">volume_ratio</w:t>
            </w:r>
          </w:p>
        </w:tc>
        <w:tc>
          <w:tcPr/>
          <w:p>
            <w:pPr>
              <w:pStyle w:val="Compact"/>
              <w:jc w:val="center"/>
            </w:pPr>
            <w:r>
              <w:t xml:space="preserve">1</w:t>
            </w:r>
          </w:p>
        </w:tc>
      </w:tr>
      <w:tr>
        <w:tc>
          <w:tcPr/>
          <w:p>
            <w:pPr>
              <w:pStyle w:val="Compact"/>
              <w:jc w:val="left"/>
            </w:pPr>
            <w:r>
              <w:rPr>
                <w:b/>
                <w:bCs/>
              </w:rPr>
              <w:t xml:space="preserve">Total</w:t>
            </w:r>
          </w:p>
        </w:tc>
        <w:tc>
          <w:tcPr/>
          <w:p>
            <w:pPr>
              <w:pStyle w:val="Compact"/>
            </w:pPr>
          </w:p>
        </w:tc>
        <w:tc>
          <w:tcPr/>
          <w:p>
            <w:pPr>
              <w:pStyle w:val="Compact"/>
              <w:jc w:val="center"/>
            </w:pPr>
            <w:r>
              <w:rPr>
                <w:b/>
                <w:bCs/>
              </w:rPr>
              <w:t xml:space="preserve">10</w:t>
            </w:r>
          </w:p>
        </w:tc>
      </w:tr>
    </w:tbl>
    <w:bookmarkEnd w:id="24"/>
    <w:p>
      <w:pPr>
        <w:pStyle w:val="BodyText"/>
      </w:pPr>
      <w:r>
        <w:t xml:space="preserve">The 10 core factors were selected based on data availability and computational simplicity for initial validation. The Appendix provides complete construction formulas for all 25 factors including quality factors (roe, roa, accruals), sentiment factors (money flow, northbound holdings), and additional technical factors. Future work will validate the extended factor set.</w:t>
      </w:r>
    </w:p>
    <w:p>
      <w:pPr>
        <w:pStyle w:val="BodyText"/>
      </w:pPr>
      <w:r>
        <w:t xml:space="preserve">Factor construction follows standard academic definitions. Momentum factors measure cumulative returns over past periods. Reversal factors capture short-term mean reversion. Volatility factors measure risk characteristics. All factors are winsorized at the 1st and 99th percentiles and standardized cross-sectionally.</w:t>
      </w:r>
    </w:p>
    <w:bookmarkEnd w:id="25"/>
    <w:bookmarkStart w:id="26" w:name="X2e7790a00257da78215fef9c72ce158bb388a35"/>
    <w:p>
      <w:pPr>
        <w:pStyle w:val="Heading2"/>
      </w:pPr>
      <w:r>
        <w:t xml:space="preserve">Rolling IC Estimation with Exponential Decay</w:t>
      </w:r>
    </w:p>
    <w:p>
      <w:pPr>
        <w:pStyle w:val="FirstParagraph"/>
      </w:pPr>
      <w:r>
        <w:t xml:space="preserve">The Information Coefficient for factor</w:t>
      </w:r>
      <w:r>
        <w:t xml:space="preserve"> </w:t>
      </w:r>
      <m:oMath>
        <m:r>
          <m:t>f</m:t>
        </m:r>
      </m:oMath>
      <w:r>
        <w:t xml:space="preserve"> </w:t>
      </w:r>
      <w:r>
        <w:t xml:space="preserve">at time</w:t>
      </w:r>
      <w:r>
        <w:t xml:space="preserve"> </w:t>
      </w:r>
      <m:oMath>
        <m:r>
          <m:t>t</m:t>
        </m:r>
      </m:oMath>
      <w:r>
        <w:t xml:space="preserve"> </w:t>
      </w:r>
      <w:r>
        <w:t xml:space="preserve">is computed as the Spearman rank correlation between cross-sectional factor values and forward returns:</w:t>
      </w:r>
    </w:p>
    <w:p>
      <w:pPr>
        <w:pStyle w:val="BodyText"/>
      </w:pPr>
      <m:oMathPara>
        <m:oMathParaPr>
          <m:jc m:val="center"/>
        </m:oMathParaPr>
        <m:oMath>
          <m:r>
            <m:t>I</m:t>
          </m:r>
          <m:sSub>
            <m:e>
              <m:r>
                <m:t>C</m:t>
              </m:r>
            </m:e>
            <m:sub>
              <m:r>
                <m:t>f</m:t>
              </m:r>
              <m:r>
                <m:rPr>
                  <m:sty m:val="p"/>
                </m:rPr>
                <m:t>,</m:t>
              </m:r>
              <m:r>
                <m:t>t</m:t>
              </m:r>
            </m:sub>
          </m:sSub>
          <m:r>
            <m:rPr>
              <m:sty m:val="p"/>
            </m:rPr>
            <m:t>=</m:t>
          </m:r>
          <m:sSub>
            <m:e>
              <m:r>
                <m:t>ρ</m:t>
              </m:r>
            </m:e>
            <m:sub>
              <m:r>
                <m:rPr>
                  <m:nor/>
                  <m:sty m:val="p"/>
                </m:rPr>
                <m:t>Spearman</m:t>
              </m:r>
            </m:sub>
          </m:sSub>
          <m:r>
            <m:rPr>
              <m:sty m:val="p"/>
            </m:rPr>
            <m:t>(</m:t>
          </m:r>
          <m:sSub>
            <m:e>
              <m:r>
                <m:rPr>
                  <m:sty m:val="bi"/>
                </m:rPr>
                <m:t>f</m:t>
              </m:r>
            </m:e>
            <m:sub>
              <m:r>
                <m:t>t</m:t>
              </m:r>
            </m:sub>
          </m:sSub>
          <m:r>
            <m:rPr>
              <m:sty m:val="p"/>
            </m:rPr>
            <m:t>,</m:t>
          </m:r>
          <m:sSub>
            <m:e>
              <m:r>
                <m:rPr>
                  <m:sty m:val="bi"/>
                </m:rPr>
                <m:t>r</m:t>
              </m:r>
            </m:e>
            <m:sub>
              <m:r>
                <m:t>t</m:t>
              </m:r>
              <m:r>
                <m:rPr>
                  <m:sty m:val="p"/>
                </m:rPr>
                <m:t>+</m:t>
              </m:r>
              <m:r>
                <m:t>1</m:t>
              </m:r>
              <m:r>
                <m:rPr>
                  <m:sty m:val="p"/>
                </m:rPr>
                <m:t>:</m:t>
              </m:r>
              <m:r>
                <m:t>t</m:t>
              </m:r>
              <m:r>
                <m:rPr>
                  <m:sty m:val="p"/>
                </m:rPr>
                <m:t>+</m:t>
              </m:r>
              <m:r>
                <m:t>N</m:t>
              </m:r>
            </m:sub>
          </m:sSub>
          <m:r>
            <m:rPr>
              <m:sty m:val="p"/>
            </m:rPr>
            <m:t>)</m:t>
          </m:r>
        </m:oMath>
      </m:oMathPara>
    </w:p>
    <w:p>
      <w:pPr>
        <w:pStyle w:val="FirstParagraph"/>
      </w:pPr>
      <w:r>
        <w:t xml:space="preserve">where</w:t>
      </w:r>
      <w:r>
        <w:t xml:space="preserve"> </w:t>
      </w:r>
      <m:oMath>
        <m:sSub>
          <m:e>
            <m:r>
              <m:rPr>
                <m:sty m:val="bi"/>
              </m:rPr>
              <m:t>f</m:t>
            </m:r>
          </m:e>
          <m:sub>
            <m:r>
              <m:t>t</m:t>
            </m:r>
          </m:sub>
        </m:sSub>
        <m:r>
          <m:rPr>
            <m:sty m:val="p"/>
          </m:rPr>
          <m:t>∈</m:t>
        </m:r>
        <m:sSup>
          <m:e>
            <m:r>
              <m:rPr>
                <m:scr m:val="double-struck"/>
                <m:sty m:val="p"/>
              </m:rPr>
              <m:t>R</m:t>
            </m:r>
          </m:e>
          <m:sup>
            <m:r>
              <m:t>n</m:t>
            </m:r>
          </m:sup>
        </m:sSup>
      </m:oMath>
      <w:r>
        <w:t xml:space="preserve"> </w:t>
      </w:r>
      <w:r>
        <w:t xml:space="preserve">represents factor values across</w:t>
      </w:r>
      <w:r>
        <w:t xml:space="preserve"> </w:t>
      </w:r>
      <m:oMath>
        <m:r>
          <m:t>n</m:t>
        </m:r>
      </m:oMath>
      <w:r>
        <w:t xml:space="preserve"> </w:t>
      </w:r>
      <w:r>
        <w:t xml:space="preserve">stocks and</w:t>
      </w:r>
      <w:r>
        <w:t xml:space="preserve"> </w:t>
      </w:r>
      <m:oMath>
        <m:sSub>
          <m:e>
            <m:r>
              <m:rPr>
                <m:sty m:val="bi"/>
              </m:rPr>
              <m:t>r</m:t>
            </m:r>
          </m:e>
          <m:sub>
            <m:r>
              <m:t>t</m:t>
            </m:r>
            <m:r>
              <m:rPr>
                <m:sty m:val="p"/>
              </m:rPr>
              <m:t>+</m:t>
            </m:r>
            <m:r>
              <m:t>1</m:t>
            </m:r>
            <m:r>
              <m:rPr>
                <m:sty m:val="p"/>
              </m:rPr>
              <m:t>:</m:t>
            </m:r>
            <m:r>
              <m:t>t</m:t>
            </m:r>
            <m:r>
              <m:rPr>
                <m:sty m:val="p"/>
              </m:rPr>
              <m:t>+</m:t>
            </m:r>
            <m:r>
              <m:t>N</m:t>
            </m:r>
          </m:sub>
        </m:sSub>
      </m:oMath>
      <w:r>
        <w:t xml:space="preserve"> </w:t>
      </w:r>
      <w:r>
        <w:t xml:space="preserve">denotes</w:t>
      </w:r>
      <w:r>
        <w:t xml:space="preserve"> </w:t>
      </w:r>
      <m:oMath>
        <m:r>
          <m:t>N</m:t>
        </m:r>
      </m:oMath>
      <w:r>
        <w:t xml:space="preserve">-day forward returns. We use</w:t>
      </w:r>
      <w:r>
        <w:t xml:space="preserve"> </w:t>
      </w:r>
      <m:oMath>
        <m:r>
          <m:t>N</m:t>
        </m:r>
        <m:r>
          <m:rPr>
            <m:sty m:val="p"/>
          </m:rPr>
          <m:t>=</m:t>
        </m:r>
        <m:r>
          <m:t>20</m:t>
        </m:r>
      </m:oMath>
      <w:r>
        <w:t xml:space="preserve"> </w:t>
      </w:r>
      <w:r>
        <w:t xml:space="preserve">trading days (one month) as the prediction horizon.</w:t>
      </w:r>
    </w:p>
    <w:p>
      <w:pPr>
        <w:pStyle w:val="BodyText"/>
      </w:pPr>
      <w:r>
        <w:t xml:space="preserve">To capture recent effectiveness while smoothing short-term noise, we compute decay-weighted IC mean and ICIR:</w:t>
      </w:r>
    </w:p>
    <w:p>
      <w:pPr>
        <w:pStyle w:val="BodyText"/>
      </w:pPr>
      <m:oMathPara>
        <m:oMathParaPr>
          <m:jc m:val="center"/>
        </m:oMathParaPr>
        <m:oMath>
          <m:sSub>
            <m:e>
              <m:bar>
                <m:barPr>
                  <m:pos m:val="top"/>
                </m:barPr>
                <m:e>
                  <m:r>
                    <m:t>I</m:t>
                  </m:r>
                  <m:r>
                    <m:t>C</m:t>
                  </m:r>
                </m:e>
              </m:bar>
            </m:e>
            <m:sub>
              <m:r>
                <m:t>f</m:t>
              </m:r>
              <m:r>
                <m:rPr>
                  <m:sty m:val="p"/>
                </m:rPr>
                <m:t>,</m:t>
              </m:r>
              <m:r>
                <m:t>t</m:t>
              </m:r>
            </m:sub>
          </m:sSub>
          <m:r>
            <m:rPr>
              <m:sty m:val="p"/>
            </m:rPr>
            <m:t>=</m:t>
          </m:r>
          <m:f>
            <m:fPr>
              <m:type m:val="bar"/>
            </m:fPr>
            <m:num>
              <m:nary>
                <m:naryPr>
                  <m:chr m:val="∑"/>
                  <m:limLoc m:val="undOvr"/>
                  <m:subHide m:val="off"/>
                  <m:supHide m:val="off"/>
                </m:naryPr>
                <m:sub>
                  <m:r>
                    <m:t>i</m:t>
                  </m:r>
                  <m:r>
                    <m:rPr>
                      <m:sty m:val="p"/>
                    </m:rPr>
                    <m:t>=</m:t>
                  </m:r>
                  <m:r>
                    <m:t>0</m:t>
                  </m:r>
                </m:sub>
                <m:sup>
                  <m:r>
                    <m:t>W</m:t>
                  </m:r>
                  <m:r>
                    <m:rPr>
                      <m:sty m:val="p"/>
                    </m:rPr>
                    <m:t>−</m:t>
                  </m:r>
                  <m:r>
                    <m:t>1</m:t>
                  </m:r>
                </m:sup>
                <m:e>
                  <m:sSup>
                    <m:e>
                      <m:r>
                        <m:t>γ</m:t>
                      </m:r>
                    </m:e>
                    <m:sup>
                      <m:r>
                        <m:t>i</m:t>
                      </m:r>
                    </m:sup>
                  </m:sSup>
                </m:e>
              </m:nary>
              <m:r>
                <m:rPr>
                  <m:sty m:val="p"/>
                </m:rPr>
                <m:t>⋅</m:t>
              </m:r>
              <m:r>
                <m:t>I</m:t>
              </m:r>
              <m:sSub>
                <m:e>
                  <m:r>
                    <m:t>C</m:t>
                  </m:r>
                </m:e>
                <m:sub>
                  <m:r>
                    <m:t>f</m:t>
                  </m:r>
                  <m:r>
                    <m:rPr>
                      <m:sty m:val="p"/>
                    </m:rPr>
                    <m:t>,</m:t>
                  </m:r>
                  <m:r>
                    <m:t>t</m:t>
                  </m:r>
                  <m:r>
                    <m:rPr>
                      <m:sty m:val="p"/>
                    </m:rPr>
                    <m:t>−</m:t>
                  </m:r>
                  <m:r>
                    <m:t>i</m:t>
                  </m:r>
                </m:sub>
              </m:sSub>
            </m:num>
            <m:den>
              <m:nary>
                <m:naryPr>
                  <m:chr m:val="∑"/>
                  <m:limLoc m:val="undOvr"/>
                  <m:subHide m:val="off"/>
                  <m:supHide m:val="off"/>
                </m:naryPr>
                <m:sub>
                  <m:r>
                    <m:t>i</m:t>
                  </m:r>
                  <m:r>
                    <m:rPr>
                      <m:sty m:val="p"/>
                    </m:rPr>
                    <m:t>=</m:t>
                  </m:r>
                  <m:r>
                    <m:t>0</m:t>
                  </m:r>
                </m:sub>
                <m:sup>
                  <m:r>
                    <m:t>W</m:t>
                  </m:r>
                  <m:r>
                    <m:rPr>
                      <m:sty m:val="p"/>
                    </m:rPr>
                    <m:t>−</m:t>
                  </m:r>
                  <m:r>
                    <m:t>1</m:t>
                  </m:r>
                </m:sup>
                <m:e>
                  <m:sSup>
                    <m:e>
                      <m:r>
                        <m:t>γ</m:t>
                      </m:r>
                    </m:e>
                    <m:sup>
                      <m:r>
                        <m:t>i</m:t>
                      </m:r>
                    </m:sup>
                  </m:sSup>
                </m:e>
              </m:nary>
            </m:den>
          </m:f>
        </m:oMath>
      </m:oMathPara>
    </w:p>
    <w:p>
      <w:pPr>
        <w:pStyle w:val="FirstParagraph"/>
      </w:pPr>
      <m:oMathPara>
        <m:oMathParaPr>
          <m:jc m:val="center"/>
        </m:oMathParaPr>
        <m:oMath>
          <m:r>
            <m:t>I</m:t>
          </m:r>
          <m:r>
            <m:t>C</m:t>
          </m:r>
          <m:r>
            <m:t>I</m:t>
          </m:r>
          <m:sSub>
            <m:e>
              <m:r>
                <m:t>R</m:t>
              </m:r>
            </m:e>
            <m:sub>
              <m:r>
                <m:t>f</m:t>
              </m:r>
              <m:r>
                <m:rPr>
                  <m:sty m:val="p"/>
                </m:rPr>
                <m:t>,</m:t>
              </m:r>
              <m:r>
                <m:t>t</m:t>
              </m:r>
            </m:sub>
          </m:sSub>
          <m:r>
            <m:rPr>
              <m:sty m:val="p"/>
            </m:rPr>
            <m:t>=</m:t>
          </m:r>
          <m:f>
            <m:fPr>
              <m:type m:val="bar"/>
            </m:fPr>
            <m:num>
              <m:sSub>
                <m:e>
                  <m:bar>
                    <m:barPr>
                      <m:pos m:val="top"/>
                    </m:barPr>
                    <m:e>
                      <m:r>
                        <m:t>I</m:t>
                      </m:r>
                      <m:r>
                        <m:t>C</m:t>
                      </m:r>
                    </m:e>
                  </m:bar>
                </m:e>
                <m:sub>
                  <m:r>
                    <m:t>f</m:t>
                  </m:r>
                  <m:r>
                    <m:rPr>
                      <m:sty m:val="p"/>
                    </m:rPr>
                    <m:t>,</m:t>
                  </m:r>
                  <m:r>
                    <m:t>t</m:t>
                  </m:r>
                </m:sub>
              </m:sSub>
            </m:num>
            <m:den>
              <m:sSub>
                <m:e>
                  <m:r>
                    <m:t>σ</m:t>
                  </m:r>
                </m:e>
                <m:sub>
                  <m:r>
                    <m:t>I</m:t>
                  </m:r>
                  <m:r>
                    <m:t>C</m:t>
                  </m:r>
                  <m:r>
                    <m:rPr>
                      <m:sty m:val="p"/>
                    </m:rPr>
                    <m:t>,</m:t>
                  </m:r>
                  <m:r>
                    <m:t>f</m:t>
                  </m:r>
                  <m:r>
                    <m:rPr>
                      <m:sty m:val="p"/>
                    </m:rPr>
                    <m:t>,</m:t>
                  </m:r>
                  <m:r>
                    <m:t>t</m:t>
                  </m:r>
                </m:sub>
              </m:sSub>
            </m:den>
          </m:f>
        </m:oMath>
      </m:oMathPara>
    </w:p>
    <w:p>
      <w:pPr>
        <w:pStyle w:val="FirstParagraph"/>
      </w:pPr>
      <w:r>
        <w:t xml:space="preserve">where</w:t>
      </w:r>
      <w:r>
        <w:t xml:space="preserve"> </w:t>
      </w:r>
      <m:oMath>
        <m:r>
          <m:t>W</m:t>
        </m:r>
        <m:r>
          <m:rPr>
            <m:sty m:val="p"/>
          </m:rPr>
          <m:t>=</m:t>
        </m:r>
        <m:r>
          <m:t>60</m:t>
        </m:r>
      </m:oMath>
      <w:r>
        <w:t xml:space="preserve"> </w:t>
      </w:r>
      <w:r>
        <w:t xml:space="preserve">trading days is the lookback window and</w:t>
      </w:r>
      <w:r>
        <w:t xml:space="preserve"> </w:t>
      </w:r>
      <m:oMath>
        <m:r>
          <m:t>γ</m:t>
        </m:r>
        <m:r>
          <m:rPr>
            <m:sty m:val="p"/>
          </m:rPr>
          <m:t>∈</m:t>
        </m:r>
        <m:r>
          <m:rPr>
            <m:sty m:val="p"/>
          </m:rPr>
          <m:t>(</m:t>
        </m:r>
        <m:r>
          <m:t>0</m:t>
        </m:r>
        <m:r>
          <m:rPr>
            <m:sty m:val="p"/>
          </m:rPr>
          <m:t>,</m:t>
        </m:r>
        <m:r>
          <m:t>1</m:t>
        </m:r>
        <m:r>
          <m:rPr>
            <m:sty m:val="p"/>
          </m:rPr>
          <m:t>)</m:t>
        </m:r>
      </m:oMath>
      <w:r>
        <w:t xml:space="preserve"> </w:t>
      </w:r>
      <w:r>
        <w:t xml:space="preserve">is the decay factor. Higher</w:t>
      </w:r>
      <w:r>
        <w:t xml:space="preserve"> </w:t>
      </w:r>
      <m:oMath>
        <m:r>
          <m:t>γ</m:t>
        </m:r>
      </m:oMath>
      <w:r>
        <w:t xml:space="preserve"> </w:t>
      </w:r>
      <w:r>
        <w:t xml:space="preserve">gives more weight to recent observations, with effective window length approximately</w:t>
      </w:r>
      <w:r>
        <w:t xml:space="preserve"> </w:t>
      </w:r>
      <m:oMath>
        <m:sSub>
          <m:e>
            <m:r>
              <m:t>W</m:t>
            </m:r>
          </m:e>
          <m:sub>
            <m:r>
              <m:rPr>
                <m:nor/>
                <m:sty m:val="p"/>
              </m:rPr>
              <m:t>eff</m:t>
            </m:r>
          </m:sub>
        </m:sSub>
        <m:r>
          <m:rPr>
            <m:sty m:val="p"/>
          </m:rPr>
          <m:t>=</m:t>
        </m:r>
        <m:r>
          <m:t>1</m:t>
        </m:r>
        <m:r>
          <m:rPr>
            <m:sty m:val="p"/>
          </m:rPr>
          <m:t>/</m:t>
        </m:r>
        <m:r>
          <m:rPr>
            <m:sty m:val="p"/>
          </m:rPr>
          <m:t>(</m:t>
        </m:r>
        <m:r>
          <m:t>1</m:t>
        </m:r>
        <m:r>
          <m:rPr>
            <m:sty m:val="p"/>
          </m:rPr>
          <m:t>−</m:t>
        </m:r>
        <m:r>
          <m:t>γ</m:t>
        </m:r>
        <m:r>
          <m:rPr>
            <m:sty m:val="p"/>
          </m:rPr>
          <m:t>)</m:t>
        </m:r>
      </m:oMath>
      <w:r>
        <w:t xml:space="preserve">.</w:t>
      </w:r>
    </w:p>
    <w:bookmarkEnd w:id="26"/>
    <w:bookmarkStart w:id="27" w:name="base-weight-computation"/>
    <w:p>
      <w:pPr>
        <w:pStyle w:val="Heading2"/>
      </w:pPr>
      <w:r>
        <w:t xml:space="preserve">Base Weight Computation</w:t>
      </w:r>
    </w:p>
    <w:p>
      <w:pPr>
        <w:pStyle w:val="FirstParagraph"/>
      </w:pPr>
      <w:r>
        <w:t xml:space="preserve">The base factor weight is computed from IC metrics, with negative-IC factors explicitly excluded:</w:t>
      </w:r>
    </w:p>
    <w:p>
      <w:pPr>
        <w:pStyle w:val="BodyText"/>
      </w:pPr>
      <m:oMathPara>
        <m:oMathParaPr>
          <m:jc m:val="center"/>
        </m:oMathParaPr>
        <m:oMath>
          <m:sSubSup>
            <m:e>
              <m:r>
                <m:t>w</m:t>
              </m:r>
            </m:e>
            <m:sub>
              <m:r>
                <m:t>f</m:t>
              </m:r>
              <m:r>
                <m:rPr>
                  <m:sty m:val="p"/>
                </m:rPr>
                <m:t>,</m:t>
              </m:r>
              <m:r>
                <m:t>t</m:t>
              </m:r>
            </m:sub>
            <m:sup>
              <m:r>
                <m:rPr>
                  <m:nor/>
                  <m:sty m:val="p"/>
                </m:rPr>
                <m:t>base</m:t>
              </m:r>
            </m:sup>
          </m:sSubSup>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min</m:t>
                    </m:r>
                    <m:d>
                      <m:dPr>
                        <m:begChr m:val="("/>
                        <m:sepChr m:val=""/>
                        <m:endChr m:val=")"/>
                        <m:grow/>
                      </m:dPr>
                      <m:e>
                        <m:f>
                          <m:fPr>
                            <m:type m:val="bar"/>
                          </m:fPr>
                          <m:num>
                            <m:sSub>
                              <m:e>
                                <m:bar>
                                  <m:barPr>
                                    <m:pos m:val="top"/>
                                  </m:barPr>
                                  <m:e>
                                    <m:r>
                                      <m:t>I</m:t>
                                    </m:r>
                                    <m:r>
                                      <m:t>C</m:t>
                                    </m:r>
                                  </m:e>
                                </m:bar>
                              </m:e>
                              <m:sub>
                                <m:r>
                                  <m:t>f</m:t>
                                </m:r>
                                <m:r>
                                  <m:rPr>
                                    <m:sty m:val="p"/>
                                  </m:rPr>
                                  <m:t>,</m:t>
                                </m:r>
                                <m:r>
                                  <m:t>t</m:t>
                                </m:r>
                              </m:sub>
                            </m:sSub>
                          </m:num>
                          <m:den>
                            <m:sSub>
                              <m:e>
                                <m:r>
                                  <m:t>σ</m:t>
                                </m:r>
                              </m:e>
                              <m:sub>
                                <m:r>
                                  <m:t>I</m:t>
                                </m:r>
                                <m:r>
                                  <m:t>C</m:t>
                                </m:r>
                                <m:r>
                                  <m:rPr>
                                    <m:sty m:val="p"/>
                                  </m:rPr>
                                  <m:t>,</m:t>
                                </m:r>
                                <m:r>
                                  <m:t>f</m:t>
                                </m:r>
                                <m:r>
                                  <m:rPr>
                                    <m:sty m:val="p"/>
                                  </m:rPr>
                                  <m:t>,</m:t>
                                </m:r>
                                <m:r>
                                  <m:t>t</m:t>
                                </m:r>
                              </m:sub>
                            </m:sSub>
                          </m:den>
                        </m:f>
                        <m:r>
                          <m:rPr>
                            <m:sty m:val="p"/>
                          </m:rPr>
                          <m:t>⋅</m:t>
                        </m:r>
                        <m:r>
                          <m:t>η</m:t>
                        </m:r>
                        <m:r>
                          <m:rPr>
                            <m:sty m:val="p"/>
                          </m:rPr>
                          <m:t>,</m:t>
                        </m:r>
                        <m:sSub>
                          <m:e>
                            <m:r>
                              <m:t>w</m:t>
                            </m:r>
                          </m:e>
                          <m:sub>
                            <m:r>
                              <m:rPr>
                                <m:nor/>
                                <m:sty m:val="p"/>
                              </m:rPr>
                              <m:t>max</m:t>
                            </m:r>
                          </m:sub>
                        </m:sSub>
                      </m:e>
                    </m:d>
                  </m:e>
                  <m:e>
                    <m:r>
                      <m:rPr>
                        <m:nor/>
                        <m:sty m:val="p"/>
                      </m:rPr>
                      <m:t>if </m:t>
                    </m:r>
                    <m:sSub>
                      <m:e>
                        <m:bar>
                          <m:barPr>
                            <m:pos m:val="top"/>
                          </m:barPr>
                          <m:e>
                            <m:r>
                              <m:t>I</m:t>
                            </m:r>
                            <m:r>
                              <m:t>C</m:t>
                            </m:r>
                          </m:e>
                        </m:bar>
                      </m:e>
                      <m:sub>
                        <m:r>
                          <m:t>f</m:t>
                        </m:r>
                        <m:r>
                          <m:rPr>
                            <m:sty m:val="p"/>
                          </m:rPr>
                          <m:t>,</m:t>
                        </m:r>
                        <m:r>
                          <m:t>t</m:t>
                        </m:r>
                      </m:sub>
                    </m:sSub>
                    <m:r>
                      <m:rPr>
                        <m:sty m:val="p"/>
                      </m:rPr>
                      <m:t>&gt;</m:t>
                    </m:r>
                    <m:r>
                      <m:t>0</m:t>
                    </m:r>
                  </m:e>
                </m:mr>
                <m:mr>
                  <m:e>
                    <m:r>
                      <m:t>0</m:t>
                    </m:r>
                  </m:e>
                  <m:e>
                    <m:r>
                      <m:rPr>
                        <m:nor/>
                        <m:sty m:val="p"/>
                      </m:rPr>
                      <m:t>if </m:t>
                    </m:r>
                    <m:sSub>
                      <m:e>
                        <m:bar>
                          <m:barPr>
                            <m:pos m:val="top"/>
                          </m:barPr>
                          <m:e>
                            <m:r>
                              <m:t>I</m:t>
                            </m:r>
                            <m:r>
                              <m:t>C</m:t>
                            </m:r>
                          </m:e>
                        </m:bar>
                      </m:e>
                      <m:sub>
                        <m:r>
                          <m:t>f</m:t>
                        </m:r>
                        <m:r>
                          <m:rPr>
                            <m:sty m:val="p"/>
                          </m:rPr>
                          <m:t>,</m:t>
                        </m:r>
                        <m:r>
                          <m:t>t</m:t>
                        </m:r>
                      </m:sub>
                    </m:sSub>
                    <m:r>
                      <m:rPr>
                        <m:sty m:val="p"/>
                      </m:rPr>
                      <m:t>≤</m:t>
                    </m:r>
                    <m:r>
                      <m:t>0</m:t>
                    </m:r>
                  </m:e>
                </m:mr>
              </m:m>
            </m:e>
          </m:d>
        </m:oMath>
      </m:oMathPara>
    </w:p>
    <w:p>
      <w:pPr>
        <w:pStyle w:val="FirstParagraph"/>
      </w:pPr>
      <w:r>
        <w:t xml:space="preserve">where</w:t>
      </w:r>
      <w:r>
        <w:t xml:space="preserve"> </w:t>
      </w:r>
      <m:oMath>
        <m:r>
          <m:t>η</m:t>
        </m:r>
        <m:r>
          <m:rPr>
            <m:sty m:val="p"/>
          </m:rPr>
          <m:t>=</m:t>
        </m:r>
        <m:r>
          <m:t>0.1</m:t>
        </m:r>
      </m:oMath>
      <w:r>
        <w:t xml:space="preserve"> </w:t>
      </w:r>
      <w:r>
        <w:t xml:space="preserve">is a scaling parameter and</w:t>
      </w:r>
      <w:r>
        <w:t xml:space="preserve"> </w:t>
      </w:r>
      <m:oMath>
        <m:sSub>
          <m:e>
            <m:r>
              <m:t>w</m:t>
            </m:r>
          </m:e>
          <m:sub>
            <m:r>
              <m:rPr>
                <m:nor/>
                <m:sty m:val="p"/>
              </m:rPr>
              <m:t>max</m:t>
            </m:r>
          </m:sub>
        </m:sSub>
        <m:r>
          <m:rPr>
            <m:sty m:val="p"/>
          </m:rPr>
          <m:t>=</m:t>
        </m:r>
        <m:r>
          <m:t>0.15</m:t>
        </m:r>
      </m:oMath>
      <w:r>
        <w:t xml:space="preserve"> </w:t>
      </w:r>
      <w:r>
        <w:t xml:space="preserve">caps individual factor weights to prevent concentration. This formulation ensures that only factors with positive predictive power (positive average IC) receive positive weights. Factors with negative or zero average IC are excluded from the portfolio.</w:t>
      </w:r>
    </w:p>
    <w:p>
      <w:pPr>
        <w:pStyle w:val="BodyText"/>
      </w:pPr>
      <w:r>
        <w:t xml:space="preserve">Weights are normalized to sum to one:</w:t>
      </w:r>
    </w:p>
    <w:p>
      <w:pPr>
        <w:pStyle w:val="BodyText"/>
      </w:pPr>
      <m:oMathPara>
        <m:oMathParaPr>
          <m:jc m:val="center"/>
        </m:oMathParaPr>
        <m:oMath>
          <m:sSub>
            <m:e>
              <m:r>
                <m:t>w</m:t>
              </m:r>
            </m:e>
            <m:sub>
              <m:r>
                <m:t>f</m:t>
              </m:r>
              <m:r>
                <m:rPr>
                  <m:sty m:val="p"/>
                </m:rPr>
                <m:t>,</m:t>
              </m:r>
              <m:r>
                <m:t>t</m:t>
              </m:r>
            </m:sub>
          </m:sSub>
          <m:r>
            <m:rPr>
              <m:sty m:val="p"/>
            </m:rPr>
            <m:t>=</m:t>
          </m:r>
          <m:f>
            <m:fPr>
              <m:type m:val="bar"/>
            </m:fPr>
            <m:num>
              <m:sSubSup>
                <m:e>
                  <m:r>
                    <m:t>w</m:t>
                  </m:r>
                </m:e>
                <m:sub>
                  <m:r>
                    <m:t>f</m:t>
                  </m:r>
                  <m:r>
                    <m:rPr>
                      <m:sty m:val="p"/>
                    </m:rPr>
                    <m:t>,</m:t>
                  </m:r>
                  <m:r>
                    <m:t>t</m:t>
                  </m:r>
                </m:sub>
                <m:sup>
                  <m:r>
                    <m:rPr>
                      <m:nor/>
                      <m:sty m:val="p"/>
                    </m:rPr>
                    <m:t>base</m:t>
                  </m:r>
                </m:sup>
              </m:sSubSup>
            </m:num>
            <m:den>
              <m:nary>
                <m:naryPr>
                  <m:chr m:val="∑"/>
                  <m:limLoc m:val="undOvr"/>
                  <m:subHide m:val="off"/>
                  <m:supHide m:val="on"/>
                </m:naryPr>
                <m:sub>
                  <m:sSup>
                    <m:e>
                      <m:r>
                        <m:t>f</m:t>
                      </m:r>
                    </m:e>
                    <m:sup>
                      <m:r>
                        <m:rPr>
                          <m:sty m:val="p"/>
                        </m:rPr>
                        <m:t>′</m:t>
                      </m:r>
                    </m:sup>
                  </m:sSup>
                </m:sub>
                <m:sup>
                  <m:r>
                    <m:t>​</m:t>
                  </m:r>
                </m:sup>
                <m:e>
                  <m:sSubSup>
                    <m:e>
                      <m:r>
                        <m:t>w</m:t>
                      </m:r>
                    </m:e>
                    <m:sub>
                      <m:sSup>
                        <m:e>
                          <m:r>
                            <m:t>f</m:t>
                          </m:r>
                        </m:e>
                        <m:sup>
                          <m:r>
                            <m:rPr>
                              <m:sty m:val="p"/>
                            </m:rPr>
                            <m:t>′</m:t>
                          </m:r>
                        </m:sup>
                      </m:sSup>
                      <m:r>
                        <m:rPr>
                          <m:sty m:val="p"/>
                        </m:rPr>
                        <m:t>,</m:t>
                      </m:r>
                      <m:r>
                        <m:t>t</m:t>
                      </m:r>
                    </m:sub>
                    <m:sup>
                      <m:r>
                        <m:rPr>
                          <m:nor/>
                          <m:sty m:val="p"/>
                        </m:rPr>
                        <m:t>base</m:t>
                      </m:r>
                    </m:sup>
                  </m:sSubSup>
                </m:e>
              </m:nary>
            </m:den>
          </m:f>
        </m:oMath>
      </m:oMathPara>
    </w:p>
    <w:p>
      <w:pPr>
        <w:pStyle w:val="FirstParagraph"/>
      </w:pPr>
      <w:r>
        <w:t xml:space="preserve">This formulation has three key properties: (1) factors with higher ICIR receive larger weights, (2) only factors with positive average IC contribute to the portfolio (negative-IC factors are excluded), and (3) the weight cap prevents any single factor from dominating the portfolio.</w:t>
      </w:r>
    </w:p>
    <w:bookmarkEnd w:id="27"/>
    <w:bookmarkStart w:id="29" w:name="X2d81f298abeaeae05bd366d1990d104ff99269b"/>
    <w:p>
      <w:pPr>
        <w:pStyle w:val="Heading2"/>
      </w:pPr>
      <w:r>
        <w:t xml:space="preserve">Regime Detection and Conditional Multipliers</w:t>
      </w:r>
    </w:p>
    <w:p>
      <w:pPr>
        <w:pStyle w:val="FirstParagraph"/>
      </w:pPr>
      <w:r>
        <w:t xml:space="preserve">Market regime conditions modulate base weights through regime-specific multipliers. We detect three regimes (Bull, Bear, Oscillation) using a combination of trend and volatility indicators:</w:t>
      </w:r>
    </w:p>
    <w:p>
      <w:pPr>
        <w:numPr>
          <w:ilvl w:val="0"/>
          <w:numId w:val="1004"/>
        </w:numPr>
      </w:pPr>
      <w:r>
        <w:rPr>
          <w:b/>
          <w:bCs/>
        </w:rPr>
        <w:t xml:space="preserve">Bull Regime</w:t>
      </w:r>
      <w:r>
        <w:t xml:space="preserve">: Price above 60-day MA, realized volatility below 20% annualized, positive 20-day momentum</w:t>
      </w:r>
    </w:p>
    <w:p>
      <w:pPr>
        <w:numPr>
          <w:ilvl w:val="0"/>
          <w:numId w:val="1004"/>
        </w:numPr>
      </w:pPr>
      <w:r>
        <w:rPr>
          <w:b/>
          <w:bCs/>
        </w:rPr>
        <w:t xml:space="preserve">Bear Regime</w:t>
      </w:r>
      <w:r>
        <w:t xml:space="preserve">: Price below 60-day MA, realized volatility above 25% annualized, negative 20-day momentum</w:t>
      </w:r>
    </w:p>
    <w:p>
      <w:pPr>
        <w:numPr>
          <w:ilvl w:val="0"/>
          <w:numId w:val="1004"/>
        </w:numPr>
      </w:pPr>
      <w:r>
        <w:rPr>
          <w:b/>
          <w:bCs/>
        </w:rPr>
        <w:t xml:space="preserve">Oscillation Regime</w:t>
      </w:r>
      <w:r>
        <w:t xml:space="preserve">: Neither bull nor bear conditions satisfied</w:t>
      </w:r>
    </w:p>
    <w:p>
      <w:pPr>
        <w:pStyle w:val="FirstParagraph"/>
      </w:pPr>
      <w:r>
        <w:t xml:space="preserve">Based on documented factor effectiveness in academic literature </w:t>
      </w:r>
      <w:r>
        <w:t xml:space="preserve">(Arnott et al. 2016; Blitz et al. 2020)</w:t>
      </w:r>
      <w:r>
        <w:t xml:space="preserve">, we apply regime-specific multipliers:</w:t>
      </w:r>
    </w:p>
    <w:bookmarkStart w:id="28" w:name="tab:multipliers"/>
    <w:p>
      <w:pPr>
        <w:pStyle w:val="TableCaption"/>
      </w:pPr>
      <w:r>
        <w:t xml:space="preserve">Regime-Specific Factor Multipliers</w:t>
      </w:r>
    </w:p>
    <w:tbl>
      <w:tblPr>
        <w:tblStyle w:val="Table"/>
        <w:tblW w:type="auto" w:w="0"/>
        <w:tblLook w:firstRow="1" w:lastRow="0" w:firstColumn="0" w:lastColumn="0" w:noHBand="0" w:noVBand="0" w:val="0020"/>
        <w:tblCaption w:val="Regime-Specific Factor Multipliers"/>
      </w:tblPr>
      <w:tblGrid>
        <w:gridCol w:w="1980"/>
        <w:gridCol w:w="1980"/>
        <w:gridCol w:w="1980"/>
        <w:gridCol w:w="1980"/>
      </w:tblGrid>
      <w:tr>
        <w:trPr>
          <w:tblHeader w:val="on"/>
        </w:trPr>
        <w:tc>
          <w:tcPr/>
          <w:p>
            <w:pPr>
              <w:pStyle w:val="Compact"/>
              <w:jc w:val="left"/>
            </w:pPr>
            <w:r>
              <w:t xml:space="preserve">Factor Category</w:t>
            </w:r>
          </w:p>
        </w:tc>
        <w:tc>
          <w:tcPr/>
          <w:p>
            <w:pPr>
              <w:pStyle w:val="Compact"/>
              <w:jc w:val="center"/>
            </w:pPr>
            <w:r>
              <w:t xml:space="preserve">Bull</w:t>
            </w:r>
          </w:p>
        </w:tc>
        <w:tc>
          <w:tcPr/>
          <w:p>
            <w:pPr>
              <w:pStyle w:val="Compact"/>
              <w:jc w:val="center"/>
            </w:pPr>
            <w:r>
              <w:t xml:space="preserve">Bear</w:t>
            </w:r>
          </w:p>
        </w:tc>
        <w:tc>
          <w:tcPr/>
          <w:p>
            <w:pPr>
              <w:pStyle w:val="Compact"/>
              <w:jc w:val="center"/>
            </w:pPr>
            <w:r>
              <w:t xml:space="preserve">Oscillation</w:t>
            </w:r>
          </w:p>
        </w:tc>
      </w:tr>
      <w:tr>
        <w:tc>
          <w:tcPr/>
          <w:p>
            <w:pPr>
              <w:pStyle w:val="Compact"/>
              <w:jc w:val="left"/>
            </w:pPr>
            <w:r>
              <w:t xml:space="preserve">Momentum</w:t>
            </w:r>
          </w:p>
        </w:tc>
        <w:tc>
          <w:tcPr/>
          <w:p>
            <w:pPr>
              <w:pStyle w:val="Compact"/>
              <w:jc w:val="center"/>
            </w:pPr>
            <w:r>
              <w:t xml:space="preserve">1.3</w:t>
            </w:r>
            <m:oMath>
              <m:r>
                <m:rPr>
                  <m:sty m:val="p"/>
                </m:rPr>
                <m:t>×</m:t>
              </m:r>
            </m:oMath>
          </w:p>
        </w:tc>
        <w:tc>
          <w:tcPr/>
          <w:p>
            <w:pPr>
              <w:pStyle w:val="Compact"/>
              <w:jc w:val="center"/>
            </w:pPr>
            <w:r>
              <w:t xml:space="preserve">0.7</w:t>
            </w:r>
            <m:oMath>
              <m:r>
                <m:rPr>
                  <m:sty m:val="p"/>
                </m:rPr>
                <m:t>×</m:t>
              </m:r>
            </m:oMath>
          </w:p>
        </w:tc>
        <w:tc>
          <w:tcPr/>
          <w:p>
            <w:pPr>
              <w:pStyle w:val="Compact"/>
              <w:jc w:val="center"/>
            </w:pPr>
            <w:r>
              <w:t xml:space="preserve">1.0</w:t>
            </w:r>
            <m:oMath>
              <m:r>
                <m:rPr>
                  <m:sty m:val="p"/>
                </m:rPr>
                <m:t>×</m:t>
              </m:r>
            </m:oMath>
          </w:p>
        </w:tc>
      </w:tr>
      <w:tr>
        <w:tc>
          <w:tcPr/>
          <w:p>
            <w:pPr>
              <w:pStyle w:val="Compact"/>
              <w:jc w:val="left"/>
            </w:pPr>
            <w:r>
              <w:t xml:space="preserve">Quality</w:t>
            </w:r>
          </w:p>
        </w:tc>
        <w:tc>
          <w:tcPr/>
          <w:p>
            <w:pPr>
              <w:pStyle w:val="Compact"/>
              <w:jc w:val="center"/>
            </w:pPr>
            <w:r>
              <w:t xml:space="preserve">0.8</w:t>
            </w:r>
            <m:oMath>
              <m:r>
                <m:rPr>
                  <m:sty m:val="p"/>
                </m:rPr>
                <m:t>×</m:t>
              </m:r>
            </m:oMath>
          </w:p>
        </w:tc>
        <w:tc>
          <w:tcPr/>
          <w:p>
            <w:pPr>
              <w:pStyle w:val="Compact"/>
              <w:jc w:val="center"/>
            </w:pPr>
            <w:r>
              <w:t xml:space="preserve">1.2</w:t>
            </w:r>
            <m:oMath>
              <m:r>
                <m:rPr>
                  <m:sty m:val="p"/>
                </m:rPr>
                <m:t>×</m:t>
              </m:r>
            </m:oMath>
          </w:p>
        </w:tc>
        <w:tc>
          <w:tcPr/>
          <w:p>
            <w:pPr>
              <w:pStyle w:val="Compact"/>
              <w:jc w:val="center"/>
            </w:pPr>
            <w:r>
              <w:t xml:space="preserve">1.0</w:t>
            </w:r>
            <m:oMath>
              <m:r>
                <m:rPr>
                  <m:sty m:val="p"/>
                </m:rPr>
                <m:t>×</m:t>
              </m:r>
            </m:oMath>
          </w:p>
        </w:tc>
      </w:tr>
      <w:tr>
        <w:tc>
          <w:tcPr/>
          <w:p>
            <w:pPr>
              <w:pStyle w:val="Compact"/>
              <w:jc w:val="left"/>
            </w:pPr>
            <w:r>
              <w:t xml:space="preserve">Liquidity</w:t>
            </w:r>
          </w:p>
        </w:tc>
        <w:tc>
          <w:tcPr/>
          <w:p>
            <w:pPr>
              <w:pStyle w:val="Compact"/>
              <w:jc w:val="center"/>
            </w:pPr>
            <w:r>
              <w:t xml:space="preserve">0.9</w:t>
            </w:r>
            <m:oMath>
              <m:r>
                <m:rPr>
                  <m:sty m:val="p"/>
                </m:rPr>
                <m:t>×</m:t>
              </m:r>
            </m:oMath>
          </w:p>
        </w:tc>
        <w:tc>
          <w:tcPr/>
          <w:p>
            <w:pPr>
              <w:pStyle w:val="Compact"/>
              <w:jc w:val="center"/>
            </w:pPr>
            <w:r>
              <w:t xml:space="preserve">1.1</w:t>
            </w:r>
            <m:oMath>
              <m:r>
                <m:rPr>
                  <m:sty m:val="p"/>
                </m:rPr>
                <m:t>×</m:t>
              </m:r>
            </m:oMath>
          </w:p>
        </w:tc>
        <w:tc>
          <w:tcPr/>
          <w:p>
            <w:pPr>
              <w:pStyle w:val="Compact"/>
              <w:jc w:val="center"/>
            </w:pPr>
            <w:r>
              <w:t xml:space="preserve">1.0</w:t>
            </w:r>
            <m:oMath>
              <m:r>
                <m:rPr>
                  <m:sty m:val="p"/>
                </m:rPr>
                <m:t>×</m:t>
              </m:r>
            </m:oMath>
          </w:p>
        </w:tc>
      </w:tr>
      <w:tr>
        <w:tc>
          <w:tcPr/>
          <w:p>
            <w:pPr>
              <w:pStyle w:val="Compact"/>
              <w:jc w:val="left"/>
            </w:pPr>
            <w:r>
              <w:t xml:space="preserve">Volatility</w:t>
            </w:r>
          </w:p>
        </w:tc>
        <w:tc>
          <w:tcPr/>
          <w:p>
            <w:pPr>
              <w:pStyle w:val="Compact"/>
              <w:jc w:val="center"/>
            </w:pPr>
            <w:r>
              <w:t xml:space="preserve">1.0</w:t>
            </w:r>
            <m:oMath>
              <m:r>
                <m:rPr>
                  <m:sty m:val="p"/>
                </m:rPr>
                <m:t>×</m:t>
              </m:r>
            </m:oMath>
          </w:p>
        </w:tc>
        <w:tc>
          <w:tcPr/>
          <w:p>
            <w:pPr>
              <w:pStyle w:val="Compact"/>
              <w:jc w:val="center"/>
            </w:pPr>
            <w:r>
              <w:t xml:space="preserve">1.1</w:t>
            </w:r>
            <m:oMath>
              <m:r>
                <m:rPr>
                  <m:sty m:val="p"/>
                </m:rPr>
                <m:t>×</m:t>
              </m:r>
            </m:oMath>
          </w:p>
        </w:tc>
        <w:tc>
          <w:tcPr/>
          <w:p>
            <w:pPr>
              <w:pStyle w:val="Compact"/>
              <w:jc w:val="center"/>
            </w:pPr>
            <w:r>
              <w:t xml:space="preserve">1.0</w:t>
            </w:r>
            <m:oMath>
              <m:r>
                <m:rPr>
                  <m:sty m:val="p"/>
                </m:rPr>
                <m:t>×</m:t>
              </m:r>
            </m:oMath>
          </w:p>
        </w:tc>
      </w:tr>
      <w:tr>
        <w:tc>
          <w:tcPr/>
          <w:p>
            <w:pPr>
              <w:pStyle w:val="Compact"/>
              <w:jc w:val="left"/>
            </w:pPr>
            <w:r>
              <w:t xml:space="preserve">Sentiment</w:t>
            </w:r>
          </w:p>
        </w:tc>
        <w:tc>
          <w:tcPr/>
          <w:p>
            <w:pPr>
              <w:pStyle w:val="Compact"/>
              <w:jc w:val="center"/>
            </w:pPr>
            <w:r>
              <w:t xml:space="preserve">1.0</w:t>
            </w:r>
            <m:oMath>
              <m:r>
                <m:rPr>
                  <m:sty m:val="p"/>
                </m:rPr>
                <m:t>×</m:t>
              </m:r>
            </m:oMath>
          </w:p>
        </w:tc>
        <w:tc>
          <w:tcPr/>
          <w:p>
            <w:pPr>
              <w:pStyle w:val="Compact"/>
              <w:jc w:val="center"/>
            </w:pPr>
            <w:r>
              <w:t xml:space="preserve">1.0</w:t>
            </w:r>
            <m:oMath>
              <m:r>
                <m:rPr>
                  <m:sty m:val="p"/>
                </m:rPr>
                <m:t>×</m:t>
              </m:r>
            </m:oMath>
          </w:p>
        </w:tc>
        <w:tc>
          <w:tcPr/>
          <w:p>
            <w:pPr>
              <w:pStyle w:val="Compact"/>
              <w:jc w:val="center"/>
            </w:pPr>
            <w:r>
              <w:t xml:space="preserve">1.0</w:t>
            </w:r>
            <m:oMath>
              <m:r>
                <m:rPr>
                  <m:sty m:val="p"/>
                </m:rPr>
                <m:t>×</m:t>
              </m:r>
            </m:oMath>
          </w:p>
        </w:tc>
      </w:tr>
    </w:tbl>
    <w:bookmarkEnd w:id="28"/>
    <w:p>
      <w:pPr>
        <w:pStyle w:val="BodyText"/>
      </w:pPr>
      <w:r>
        <w:t xml:space="preserve">The final adjusted weight is:</w:t>
      </w:r>
    </w:p>
    <w:p>
      <w:pPr>
        <w:pStyle w:val="BodyText"/>
      </w:pPr>
      <m:oMathPara>
        <m:oMathParaPr>
          <m:jc m:val="center"/>
        </m:oMathParaPr>
        <m:oMath>
          <m:sSubSup>
            <m:e>
              <m:r>
                <m:t>w</m:t>
              </m:r>
            </m:e>
            <m:sub>
              <m:r>
                <m:t>f</m:t>
              </m:r>
              <m:r>
                <m:rPr>
                  <m:sty m:val="p"/>
                </m:rPr>
                <m:t>,</m:t>
              </m:r>
              <m:r>
                <m:t>t</m:t>
              </m:r>
            </m:sub>
            <m:sup>
              <m:r>
                <m:rPr>
                  <m:nor/>
                  <m:sty m:val="p"/>
                </m:rPr>
                <m:t>adjusted</m:t>
              </m:r>
            </m:sup>
          </m:sSubSup>
          <m:r>
            <m:rPr>
              <m:sty m:val="p"/>
            </m:rPr>
            <m:t>=</m:t>
          </m:r>
          <m:sSub>
            <m:e>
              <m:r>
                <m:t>w</m:t>
              </m:r>
            </m:e>
            <m:sub>
              <m:r>
                <m:t>f</m:t>
              </m:r>
              <m:r>
                <m:rPr>
                  <m:sty m:val="p"/>
                </m:rPr>
                <m:t>,</m:t>
              </m:r>
              <m:r>
                <m:t>t</m:t>
              </m:r>
            </m:sub>
          </m:sSub>
          <m:r>
            <m:rPr>
              <m:sty m:val="p"/>
            </m:rPr>
            <m:t>⋅</m:t>
          </m:r>
          <m:sSub>
            <m:e>
              <m:r>
                <m:t>m</m:t>
              </m:r>
            </m:e>
            <m:sub>
              <m:r>
                <m:rPr>
                  <m:nor/>
                  <m:sty m:val="p"/>
                </m:rPr>
                <m:t>regime</m:t>
              </m:r>
              <m:r>
                <m:rPr>
                  <m:sty m:val="p"/>
                </m:rPr>
                <m:t>,</m:t>
              </m:r>
              <m:r>
                <m:t>f</m:t>
              </m:r>
            </m:sub>
          </m:sSub>
        </m:oMath>
      </m:oMathPara>
    </w:p>
    <w:p>
      <w:pPr>
        <w:pStyle w:val="FirstParagraph"/>
      </w:pPr>
      <w:r>
        <w:t xml:space="preserve">where</w:t>
      </w:r>
      <w:r>
        <w:t xml:space="preserve"> </w:t>
      </w:r>
      <m:oMath>
        <m:sSub>
          <m:e>
            <m:r>
              <m:t>m</m:t>
            </m:r>
          </m:e>
          <m:sub>
            <m:r>
              <m:rPr>
                <m:nor/>
                <m:sty m:val="p"/>
              </m:rPr>
              <m:t>regime</m:t>
            </m:r>
            <m:r>
              <m:rPr>
                <m:sty m:val="p"/>
              </m:rPr>
              <m:t>,</m:t>
            </m:r>
            <m:r>
              <m:t>f</m:t>
            </m:r>
          </m:sub>
        </m:sSub>
      </m:oMath>
      <w:r>
        <w:t xml:space="preserve"> </w:t>
      </w:r>
      <w:r>
        <w:t xml:space="preserve">is the regime-specific multiplier for factor</w:t>
      </w:r>
      <w:r>
        <w:t xml:space="preserve"> </w:t>
      </w:r>
      <m:oMath>
        <m:r>
          <m:t>f</m:t>
        </m:r>
      </m:oMath>
      <w:r>
        <w:t xml:space="preserve">. Adjusted weights are renormalized to maintain unit sum.</w:t>
      </w:r>
    </w:p>
    <w:bookmarkEnd w:id="29"/>
    <w:bookmarkStart w:id="33" w:name="risk-control-module"/>
    <w:p>
      <w:pPr>
        <w:pStyle w:val="Heading2"/>
      </w:pPr>
      <w:r>
        <w:t xml:space="preserve">Risk Control Module</w:t>
      </w:r>
    </w:p>
    <w:p>
      <w:pPr>
        <w:pStyle w:val="FirstParagraph"/>
      </w:pPr>
      <w:r>
        <w:t xml:space="preserve">For practical deployment, we implement a risk control module with three constraints:</w:t>
      </w:r>
    </w:p>
    <w:bookmarkStart w:id="30" w:name="maximum-drawdown-constraint"/>
    <w:p>
      <w:pPr>
        <w:pStyle w:val="Heading3"/>
      </w:pPr>
      <w:r>
        <w:t xml:space="preserve">Maximum Drawdown Constraint</w:t>
      </w:r>
    </w:p>
    <w:p>
      <w:pPr>
        <w:pStyle w:val="FirstParagraph"/>
      </w:pPr>
      <w:r>
        <w:t xml:space="preserve">A hard stop-loss triggers when portfolio drawdown exceeds threshold</w:t>
      </w:r>
      <w:r>
        <w:t xml:space="preserve"> </w:t>
      </w:r>
      <m:oMath>
        <m:sSub>
          <m:e>
            <m:r>
              <m:t>D</m:t>
            </m:r>
          </m:e>
          <m:sub>
            <m:r>
              <m:rPr>
                <m:sty m:val="p"/>
              </m:rPr>
              <m:t>max</m:t>
            </m:r>
          </m:sub>
        </m:sSub>
      </m:oMath>
      <w:r>
        <w:t xml:space="preserve">:</w:t>
      </w:r>
    </w:p>
    <w:p>
      <w:pPr>
        <w:pStyle w:val="BodyText"/>
      </w:pPr>
      <m:oMathPara>
        <m:oMathParaPr>
          <m:jc m:val="center"/>
        </m:oMathParaPr>
        <m:oMath>
          <m:sSub>
            <m:e>
              <m:r>
                <m:rPr>
                  <m:nor/>
                  <m:sty m:val="p"/>
                </m:rPr>
                <m:t>Position</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rPr>
                            <m:nor/>
                            <m:sty m:val="p"/>
                          </m:rPr>
                          <m:t>Position</m:t>
                        </m:r>
                      </m:e>
                      <m:sub>
                        <m:r>
                          <m:t>t</m:t>
                        </m:r>
                        <m:r>
                          <m:rPr>
                            <m:sty m:val="p"/>
                          </m:rPr>
                          <m:t>−</m:t>
                        </m:r>
                        <m:r>
                          <m:t>1</m:t>
                        </m:r>
                      </m:sub>
                    </m:sSub>
                    <m:r>
                      <m:rPr>
                        <m:sty m:val="p"/>
                      </m:rPr>
                      <m:t>⋅</m:t>
                    </m:r>
                    <m:r>
                      <m:t>0.5</m:t>
                    </m:r>
                  </m:e>
                  <m:e>
                    <m:r>
                      <m:rPr>
                        <m:nor/>
                        <m:sty m:val="p"/>
                      </m:rPr>
                      <m:t>if </m:t>
                    </m:r>
                    <m:r>
                      <m:t>D</m:t>
                    </m:r>
                    <m:sSub>
                      <m:e>
                        <m:r>
                          <m:t>D</m:t>
                        </m:r>
                      </m:e>
                      <m:sub>
                        <m:r>
                          <m:t>t</m:t>
                        </m:r>
                      </m:sub>
                    </m:sSub>
                    <m:r>
                      <m:rPr>
                        <m:sty m:val="p"/>
                      </m:rPr>
                      <m:t>≥</m:t>
                    </m:r>
                    <m:r>
                      <m:t>0.25</m:t>
                    </m:r>
                  </m:e>
                </m:mr>
                <m:mr>
                  <m:e>
                    <m:r>
                      <m:t>0</m:t>
                    </m:r>
                  </m:e>
                  <m:e>
                    <m:r>
                      <m:rPr>
                        <m:nor/>
                        <m:sty m:val="p"/>
                      </m:rPr>
                      <m:t>if </m:t>
                    </m:r>
                    <m:r>
                      <m:t>D</m:t>
                    </m:r>
                    <m:sSub>
                      <m:e>
                        <m:r>
                          <m:t>D</m:t>
                        </m:r>
                      </m:e>
                      <m:sub>
                        <m:r>
                          <m:t>t</m:t>
                        </m:r>
                      </m:sub>
                    </m:sSub>
                    <m:r>
                      <m:rPr>
                        <m:sty m:val="p"/>
                      </m:rPr>
                      <m:t>≥</m:t>
                    </m:r>
                    <m:sSub>
                      <m:e>
                        <m:r>
                          <m:t>D</m:t>
                        </m:r>
                      </m:e>
                      <m:sub>
                        <m:r>
                          <m:rPr>
                            <m:sty m:val="p"/>
                          </m:rPr>
                          <m:t>max</m:t>
                        </m:r>
                      </m:sub>
                    </m:sSub>
                  </m:e>
                </m:mr>
              </m:m>
            </m:e>
          </m:d>
        </m:oMath>
      </m:oMathPara>
    </w:p>
    <w:p>
      <w:pPr>
        <w:pStyle w:val="FirstParagraph"/>
      </w:pPr>
      <w:r>
        <w:t xml:space="preserve">where</w:t>
      </w:r>
      <w:r>
        <w:t xml:space="preserve"> </w:t>
      </w:r>
      <m:oMath>
        <m:sSub>
          <m:e>
            <m:r>
              <m:t>D</m:t>
            </m:r>
          </m:e>
          <m:sub>
            <m:r>
              <m:rPr>
                <m:sty m:val="p"/>
              </m:rPr>
              <m:t>max</m:t>
            </m:r>
          </m:sub>
        </m:sSub>
        <m:r>
          <m:rPr>
            <m:sty m:val="p"/>
          </m:rPr>
          <m:t>=</m:t>
        </m:r>
        <m:r>
          <m:t>0.30</m:t>
        </m:r>
      </m:oMath>
      <w:r>
        <w:t xml:space="preserve"> </w:t>
      </w:r>
      <w:r>
        <w:t xml:space="preserve">(30%) for institutional acceptability.</w:t>
      </w:r>
    </w:p>
    <w:bookmarkEnd w:id="30"/>
    <w:bookmarkStart w:id="31" w:name="volatility-targeting"/>
    <w:p>
      <w:pPr>
        <w:pStyle w:val="Heading3"/>
      </w:pPr>
      <w:r>
        <w:t xml:space="preserve">Volatility Targeting</w:t>
      </w:r>
    </w:p>
    <w:p>
      <w:pPr>
        <w:pStyle w:val="FirstParagraph"/>
      </w:pPr>
      <w:r>
        <w:t xml:space="preserve">Position sizes are scaled to maintain constant volatility target</w:t>
      </w:r>
      <w:r>
        <w:t xml:space="preserve"> </w:t>
      </w:r>
      <m:oMath>
        <m:sSub>
          <m:e>
            <m:r>
              <m:t>σ</m:t>
            </m:r>
          </m:e>
          <m:sub>
            <m:r>
              <m:rPr>
                <m:nor/>
                <m:sty m:val="p"/>
              </m:rPr>
              <m:t>target</m:t>
            </m:r>
          </m:sub>
        </m:sSub>
      </m:oMath>
      <w:r>
        <w:t xml:space="preserve">:</w:t>
      </w:r>
    </w:p>
    <w:p>
      <w:pPr>
        <w:pStyle w:val="BodyText"/>
      </w:pPr>
      <m:oMathPara>
        <m:oMathParaPr>
          <m:jc m:val="center"/>
        </m:oMathParaPr>
        <m:oMath>
          <m:sSub>
            <m:e>
              <m:r>
                <m:rPr>
                  <m:nor/>
                  <m:sty m:val="p"/>
                </m:rPr>
                <m:t>Leverage</m:t>
              </m:r>
            </m:e>
            <m:sub>
              <m:r>
                <m:t>t</m:t>
              </m:r>
            </m:sub>
          </m:sSub>
          <m:r>
            <m:rPr>
              <m:sty m:val="p"/>
            </m:rPr>
            <m:t>=</m:t>
          </m:r>
          <m:f>
            <m:fPr>
              <m:type m:val="bar"/>
            </m:fPr>
            <m:num>
              <m:sSub>
                <m:e>
                  <m:r>
                    <m:t>σ</m:t>
                  </m:r>
                </m:e>
                <m:sub>
                  <m:r>
                    <m:rPr>
                      <m:nor/>
                      <m:sty m:val="p"/>
                    </m:rPr>
                    <m:t>target</m:t>
                  </m:r>
                </m:sub>
              </m:sSub>
            </m:num>
            <m:den>
              <m:sSub>
                <m:e>
                  <m:r>
                    <m:t>σ</m:t>
                  </m:r>
                </m:e>
                <m:sub>
                  <m:r>
                    <m:rPr>
                      <m:nor/>
                      <m:sty m:val="p"/>
                    </m:rPr>
                    <m:t>realized</m:t>
                  </m:r>
                  <m:r>
                    <m:rPr>
                      <m:sty m:val="p"/>
                    </m:rPr>
                    <m:t>,</m:t>
                  </m:r>
                  <m:r>
                    <m:t>t</m:t>
                  </m:r>
                </m:sub>
              </m:sSub>
            </m:den>
          </m:f>
        </m:oMath>
      </m:oMathPara>
    </w:p>
    <w:p>
      <w:pPr>
        <w:pStyle w:val="FirstParagraph"/>
      </w:pPr>
      <w:r>
        <w:t xml:space="preserve">with</w:t>
      </w:r>
      <w:r>
        <w:t xml:space="preserve"> </w:t>
      </w:r>
      <m:oMath>
        <m:sSub>
          <m:e>
            <m:r>
              <m:t>σ</m:t>
            </m:r>
          </m:e>
          <m:sub>
            <m:r>
              <m:rPr>
                <m:nor/>
                <m:sty m:val="p"/>
              </m:rPr>
              <m:t>target</m:t>
            </m:r>
          </m:sub>
        </m:sSub>
        <m:r>
          <m:rPr>
            <m:sty m:val="p"/>
          </m:rPr>
          <m:t>=</m:t>
        </m:r>
        <m:r>
          <m:t>0.15</m:t>
        </m:r>
      </m:oMath>
      <w:r>
        <w:t xml:space="preserve"> </w:t>
      </w:r>
      <w:r>
        <w:t xml:space="preserve">(15% annualized).</w:t>
      </w:r>
    </w:p>
    <w:bookmarkEnd w:id="31"/>
    <w:bookmarkStart w:id="32" w:name="regime-based-deleveraging"/>
    <w:p>
      <w:pPr>
        <w:pStyle w:val="Heading3"/>
      </w:pPr>
      <w:r>
        <w:t xml:space="preserve">Regime-Based Deleveraging</w:t>
      </w:r>
    </w:p>
    <w:p>
      <w:pPr>
        <w:pStyle w:val="FirstParagraph"/>
      </w:pPr>
      <w:r>
        <w:t xml:space="preserve">In Bear regime, positions are automatically reduced by 50%:</w:t>
      </w:r>
    </w:p>
    <w:p>
      <w:pPr>
        <w:pStyle w:val="BodyText"/>
      </w:pPr>
      <m:oMathPara>
        <m:oMathParaPr>
          <m:jc m:val="center"/>
        </m:oMathParaPr>
        <m:oMath>
          <m:sSubSup>
            <m:e>
              <m:r>
                <m:rPr>
                  <m:nor/>
                  <m:sty m:val="p"/>
                </m:rPr>
                <m:t>Position</m:t>
              </m:r>
            </m:e>
            <m:sub>
              <m:r>
                <m:t>t</m:t>
              </m:r>
            </m:sub>
            <m:sup>
              <m:r>
                <m:rPr>
                  <m:nor/>
                  <m:sty m:val="p"/>
                </m:rPr>
                <m:t>final</m:t>
              </m:r>
            </m:sup>
          </m:sSubSup>
          <m:r>
            <m:rPr>
              <m:sty m:val="p"/>
            </m:rPr>
            <m:t>=</m:t>
          </m:r>
          <m:sSub>
            <m:e>
              <m:r>
                <m:rPr>
                  <m:nor/>
                  <m:sty m:val="p"/>
                </m:rPr>
                <m:t>Position</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t>0.5</m:t>
                    </m:r>
                  </m:e>
                  <m:e>
                    <m:r>
                      <m:rPr>
                        <m:nor/>
                        <m:sty m:val="p"/>
                      </m:rPr>
                      <m:t>if Bear regime</m:t>
                    </m:r>
                  </m:e>
                </m:mr>
                <m:mr>
                  <m:e>
                    <m:r>
                      <m:t>1.0</m:t>
                    </m:r>
                  </m:e>
                  <m:e>
                    <m:r>
                      <m:rPr>
                        <m:nor/>
                        <m:sty m:val="p"/>
                      </m:rPr>
                      <m:t>otherwise</m:t>
                    </m:r>
                  </m:e>
                </m:mr>
              </m:m>
            </m:e>
          </m:d>
        </m:oMath>
      </m:oMathPara>
    </w:p>
    <w:bookmarkEnd w:id="32"/>
    <w:bookmarkEnd w:id="33"/>
    <w:bookmarkStart w:id="34" w:name="walk-forward-optimization-framework"/>
    <w:p>
      <w:pPr>
        <w:pStyle w:val="Heading2"/>
      </w:pPr>
      <w:r>
        <w:t xml:space="preserve">Walk-Forward Optimization Framework</w:t>
      </w:r>
    </w:p>
    <w:p>
      <w:pPr>
        <w:pStyle w:val="FirstParagraph"/>
      </w:pPr>
      <w:r>
        <w:t xml:space="preserve">To ensure out-of-sample robustness, we employ walk-forward validation with the following structure:</w:t>
      </w:r>
    </w:p>
    <w:p>
      <w:pPr>
        <w:numPr>
          <w:ilvl w:val="0"/>
          <w:numId w:val="1005"/>
        </w:numPr>
      </w:pPr>
      <w:r>
        <w:rPr>
          <w:b/>
          <w:bCs/>
        </w:rPr>
        <w:t xml:space="preserve">Training Window</w:t>
      </w:r>
      <w:r>
        <w:t xml:space="preserve">: Rolling 12 months (approximately 250 trading days)</w:t>
      </w:r>
    </w:p>
    <w:p>
      <w:pPr>
        <w:numPr>
          <w:ilvl w:val="0"/>
          <w:numId w:val="1005"/>
        </w:numPr>
      </w:pPr>
      <w:r>
        <w:rPr>
          <w:b/>
          <w:bCs/>
        </w:rPr>
        <w:t xml:space="preserve">Test Window</w:t>
      </w:r>
      <w:r>
        <w:t xml:space="preserve">: Subsequent 3 months (approximately 60 trading days)</w:t>
      </w:r>
    </w:p>
    <w:p>
      <w:pPr>
        <w:numPr>
          <w:ilvl w:val="0"/>
          <w:numId w:val="1005"/>
        </w:numPr>
      </w:pPr>
      <w:r>
        <w:rPr>
          <w:b/>
          <w:bCs/>
        </w:rPr>
        <w:t xml:space="preserve">Rebalancing Frequency</w:t>
      </w:r>
      <w:r>
        <w:t xml:space="preserve">: Monthly portfolio rebalancing</w:t>
      </w:r>
    </w:p>
    <w:p>
      <w:pPr>
        <w:numPr>
          <w:ilvl w:val="0"/>
          <w:numId w:val="1005"/>
        </w:numPr>
      </w:pPr>
      <w:r>
        <w:rPr>
          <w:b/>
          <w:bCs/>
        </w:rPr>
        <w:t xml:space="preserve">Rolling Procedure</w:t>
      </w:r>
      <w:r>
        <w:t xml:space="preserve">: At each rebalance date, we retrain IC estimates and update weights</w:t>
      </w:r>
    </w:p>
    <w:p>
      <w:pPr>
        <w:pStyle w:val="FirstParagraph"/>
      </w:pPr>
      <w:r>
        <w:t xml:space="preserve">This ensures that factor weights at any point are determined solely from information available at that time, preventing look-ahead bias. The 12-month training window captures medium-term IC dynamics while the 3-month test window provides sufficient holding period to evaluate effectiveness.</w:t>
      </w:r>
    </w:p>
    <w:bookmarkEnd w:id="34"/>
    <w:bookmarkStart w:id="35" w:name="portfolio-construction"/>
    <w:p>
      <w:pPr>
        <w:pStyle w:val="Heading2"/>
      </w:pPr>
      <w:r>
        <w:t xml:space="preserve">Portfolio Construction</w:t>
      </w:r>
    </w:p>
    <w:p>
      <w:pPr>
        <w:pStyle w:val="FirstParagraph"/>
      </w:pPr>
      <w:r>
        <w:t xml:space="preserve">At each monthly rebalance date, we:</w:t>
      </w:r>
    </w:p>
    <w:p>
      <w:pPr>
        <w:numPr>
          <w:ilvl w:val="0"/>
          <w:numId w:val="1006"/>
        </w:numPr>
      </w:pPr>
      <w:r>
        <w:t xml:space="preserve">Compute IC estimates using the trailing 60-day window</w:t>
      </w:r>
    </w:p>
    <w:p>
      <w:pPr>
        <w:numPr>
          <w:ilvl w:val="0"/>
          <w:numId w:val="1006"/>
        </w:numPr>
      </w:pPr>
      <w:r>
        <w:t xml:space="preserve">Detect current market regime</w:t>
      </w:r>
    </w:p>
    <w:p>
      <w:pPr>
        <w:numPr>
          <w:ilvl w:val="0"/>
          <w:numId w:val="1006"/>
        </w:numPr>
      </w:pPr>
      <w:r>
        <w:t xml:space="preserve">Calculate regime-adjusted factor weights</w:t>
      </w:r>
    </w:p>
    <w:p>
      <w:pPr>
        <w:numPr>
          <w:ilvl w:val="0"/>
          <w:numId w:val="1006"/>
        </w:numPr>
      </w:pPr>
      <w:r>
        <w:t xml:space="preserve">Apply risk control constraints</w:t>
      </w:r>
    </w:p>
    <w:p>
      <w:pPr>
        <w:numPr>
          <w:ilvl w:val="0"/>
          <w:numId w:val="1006"/>
        </w:numPr>
      </w:pPr>
      <w:r>
        <w:t xml:space="preserve">Rank stocks by composite factor score:</w:t>
      </w:r>
      <w:r>
        <w:t xml:space="preserve"> </w:t>
      </w:r>
      <m:oMath>
        <m:sSub>
          <m:e>
            <m:r>
              <m:t>S</m:t>
            </m:r>
          </m:e>
          <m:sub>
            <m:r>
              <m:t>i</m:t>
            </m:r>
            <m:r>
              <m:rPr>
                <m:sty m:val="p"/>
              </m:rPr>
              <m:t>,</m:t>
            </m:r>
            <m:r>
              <m:t>t</m:t>
            </m:r>
          </m:sub>
        </m:sSub>
        <m:r>
          <m:rPr>
            <m:sty m:val="p"/>
          </m:rPr>
          <m:t>=</m:t>
        </m:r>
        <m:nary>
          <m:naryPr>
            <m:chr m:val="∑"/>
            <m:limLoc m:val="undOvr"/>
            <m:subHide m:val="off"/>
            <m:supHide m:val="on"/>
          </m:naryPr>
          <m:sub>
            <m:r>
              <m:t>f</m:t>
            </m:r>
          </m:sub>
          <m:sup>
            <m:r>
              <m:t>​</m:t>
            </m:r>
          </m:sup>
          <m:e>
            <m:sSub>
              <m:e>
                <m:r>
                  <m:t>w</m:t>
                </m:r>
              </m:e>
              <m:sub>
                <m:r>
                  <m:t>f</m:t>
                </m:r>
                <m:r>
                  <m:rPr>
                    <m:sty m:val="p"/>
                  </m:rPr>
                  <m:t>,</m:t>
                </m:r>
                <m:r>
                  <m:t>t</m:t>
                </m:r>
              </m:sub>
            </m:sSub>
          </m:e>
        </m:nary>
        <m:r>
          <m:rPr>
            <m:sty m:val="p"/>
          </m:rPr>
          <m:t>⋅</m:t>
        </m:r>
        <m:sSub>
          <m:e>
            <m:r>
              <m:t>f</m:t>
            </m:r>
          </m:e>
          <m:sub>
            <m:r>
              <m:t>i</m:t>
            </m:r>
            <m:r>
              <m:rPr>
                <m:sty m:val="p"/>
              </m:rPr>
              <m:t>,</m:t>
            </m:r>
            <m:r>
              <m:t>t</m:t>
            </m:r>
          </m:sub>
        </m:sSub>
      </m:oMath>
    </w:p>
    <w:p>
      <w:pPr>
        <w:numPr>
          <w:ilvl w:val="0"/>
          <w:numId w:val="1006"/>
        </w:numPr>
      </w:pPr>
      <w:r>
        <w:t xml:space="preserve">Select top 30 stocks by composite score</w:t>
      </w:r>
    </w:p>
    <w:p>
      <w:pPr>
        <w:numPr>
          <w:ilvl w:val="0"/>
          <w:numId w:val="1006"/>
        </w:numPr>
      </w:pPr>
      <w:r>
        <w:t xml:space="preserve">Allocate equal weights to selected stocks</w:t>
      </w:r>
    </w:p>
    <w:p>
      <w:pPr>
        <w:pStyle w:val="FirstParagraph"/>
      </w:pPr>
      <w:r>
        <w:t xml:space="preserve">Transaction costs are modeled as:</w:t>
      </w:r>
    </w:p>
    <w:p>
      <w:pPr>
        <w:numPr>
          <w:ilvl w:val="0"/>
          <w:numId w:val="1007"/>
        </w:numPr>
      </w:pPr>
      <w:r>
        <w:t xml:space="preserve">Commission: 0.03%</w:t>
      </w:r>
    </w:p>
    <w:p>
      <w:pPr>
        <w:numPr>
          <w:ilvl w:val="0"/>
          <w:numId w:val="1007"/>
        </w:numPr>
      </w:pPr>
      <w:r>
        <w:t xml:space="preserve">Stamp duty: 0.1% (sell side only)</w:t>
      </w:r>
    </w:p>
    <w:p>
      <w:pPr>
        <w:numPr>
          <w:ilvl w:val="0"/>
          <w:numId w:val="1007"/>
        </w:numPr>
      </w:pPr>
      <w:r>
        <w:t xml:space="preserve">Slippage: 0.01%</w:t>
      </w:r>
    </w:p>
    <w:p>
      <w:pPr>
        <w:pStyle w:val="FirstParagraph"/>
      </w:pPr>
      <w:r>
        <w:t xml:space="preserve">These costs reflect realistic trading conditions in Chinese A-share markets.</w:t>
      </w:r>
    </w:p>
    <w:bookmarkEnd w:id="35"/>
    <w:bookmarkStart w:id="37" w:name="parameter-sensitivity-analysis"/>
    <w:p>
      <w:pPr>
        <w:pStyle w:val="Heading2"/>
      </w:pPr>
      <w:r>
        <w:t xml:space="preserve">Parameter Sensitivity Analysis</w:t>
      </w:r>
    </w:p>
    <w:p>
      <w:pPr>
        <w:pStyle w:val="FirstParagraph"/>
      </w:pPr>
      <w:r>
        <w:t xml:space="preserve">We test robustness of key hyperparameters:</w:t>
      </w:r>
    </w:p>
    <w:bookmarkStart w:id="36" w:name="tab:sensitivity"/>
    <w:p>
      <w:pPr>
        <w:pStyle w:val="TableCaption"/>
      </w:pPr>
      <w:r>
        <w:t xml:space="preserve">Parameter Sensitivity Analysis</w:t>
      </w:r>
    </w:p>
    <w:tbl>
      <w:tblPr>
        <w:tblStyle w:val="Table"/>
        <w:tblW w:type="auto" w:w="0"/>
        <w:tblLook w:firstRow="1" w:lastRow="0" w:firstColumn="0" w:lastColumn="0" w:noHBand="0" w:noVBand="0" w:val="0020"/>
        <w:tblCaption w:val="Parameter Sensitivity Analysis"/>
      </w:tblPr>
      <w:tblGrid>
        <w:gridCol w:w="1584"/>
        <w:gridCol w:w="1584"/>
        <w:gridCol w:w="1584"/>
        <w:gridCol w:w="1584"/>
        <w:gridCol w:w="1584"/>
      </w:tblGrid>
      <w:tr>
        <w:trPr>
          <w:tblHeader w:val="on"/>
        </w:trPr>
        <w:tc>
          <w:tcPr/>
          <w:p>
            <w:pPr>
              <w:pStyle w:val="Compact"/>
              <w:jc w:val="left"/>
            </w:pPr>
            <w:r>
              <w:t xml:space="preserve">Parameter</w:t>
            </w:r>
          </w:p>
        </w:tc>
        <w:tc>
          <w:tcPr/>
          <w:p>
            <w:pPr>
              <w:pStyle w:val="Compact"/>
              <w:jc w:val="center"/>
            </w:pPr>
            <w:r>
              <w:t xml:space="preserve">Values Tested</w:t>
            </w:r>
          </w:p>
        </w:tc>
        <w:tc>
          <w:tcPr/>
          <w:p>
            <w:pPr>
              <w:pStyle w:val="Compact"/>
              <w:jc w:val="center"/>
            </w:pPr>
            <w:r>
              <w:t xml:space="preserve">Sharpe Range</w:t>
            </w:r>
          </w:p>
        </w:tc>
        <w:tc>
          <w:tcPr/>
          <w:p>
            <w:pPr>
              <w:pStyle w:val="Compact"/>
              <w:jc w:val="center"/>
            </w:pPr>
            <w:r>
              <w:t xml:space="preserve">Max DD Range</w:t>
            </w:r>
          </w:p>
        </w:tc>
        <w:tc>
          <w:tcPr/>
          <w:p>
            <w:pPr>
              <w:pStyle w:val="Compact"/>
              <w:jc w:val="center"/>
            </w:pPr>
            <w:r>
              <w:t xml:space="preserve">Optimal</w:t>
            </w:r>
          </w:p>
        </w:tc>
      </w:tr>
      <w:tr>
        <w:tc>
          <w:tcPr/>
          <w:p>
            <w:pPr>
              <w:pStyle w:val="Compact"/>
              <w:jc w:val="left"/>
            </w:pPr>
            <w:r>
              <w:t xml:space="preserve">Lookback Window</w:t>
            </w:r>
            <w:r>
              <w:t xml:space="preserve"> </w:t>
            </w:r>
            <m:oMath>
              <m:r>
                <m:t>W</m:t>
              </m:r>
            </m:oMath>
          </w:p>
        </w:tc>
        <w:tc>
          <w:tcPr/>
          <w:p>
            <w:pPr>
              <w:pStyle w:val="Compact"/>
              <w:jc w:val="center"/>
            </w:pPr>
            <w:r>
              <w:t xml:space="preserve">30, 60, 90 days</w:t>
            </w:r>
          </w:p>
        </w:tc>
        <w:tc>
          <w:tcPr/>
          <w:p>
            <w:pPr>
              <w:pStyle w:val="Compact"/>
              <w:jc w:val="center"/>
            </w:pPr>
            <w:r>
              <w:t xml:space="preserve">[0.15, 0.18]</w:t>
            </w:r>
          </w:p>
        </w:tc>
        <w:tc>
          <w:tcPr/>
          <w:p>
            <w:pPr>
              <w:pStyle w:val="Compact"/>
              <w:jc w:val="center"/>
            </w:pPr>
            <w:r>
              <w:t xml:space="preserve">[28%, 35%]</w:t>
            </w:r>
          </w:p>
        </w:tc>
        <w:tc>
          <w:tcPr/>
          <w:p>
            <w:pPr>
              <w:pStyle w:val="Compact"/>
              <w:jc w:val="center"/>
            </w:pPr>
            <w:r>
              <w:t xml:space="preserve">60</w:t>
            </w:r>
          </w:p>
        </w:tc>
      </w:tr>
      <w:tr>
        <w:tc>
          <w:tcPr/>
          <w:p>
            <w:pPr>
              <w:pStyle w:val="Compact"/>
              <w:jc w:val="left"/>
            </w:pPr>
            <w:r>
              <w:t xml:space="preserve">Decay Factor</w:t>
            </w:r>
            <w:r>
              <w:t xml:space="preserve"> </w:t>
            </w:r>
            <m:oMath>
              <m:r>
                <m:t>γ</m:t>
              </m:r>
            </m:oMath>
          </w:p>
        </w:tc>
        <w:tc>
          <w:tcPr/>
          <w:p>
            <w:pPr>
              <w:pStyle w:val="Compact"/>
              <w:jc w:val="center"/>
            </w:pPr>
            <w:r>
              <w:t xml:space="preserve">0.90, 0.95, 0.98</w:t>
            </w:r>
          </w:p>
        </w:tc>
        <w:tc>
          <w:tcPr/>
          <w:p>
            <w:pPr>
              <w:pStyle w:val="Compact"/>
              <w:jc w:val="center"/>
            </w:pPr>
            <w:r>
              <w:t xml:space="preserve">[0.16, 0.18]</w:t>
            </w:r>
          </w:p>
        </w:tc>
        <w:tc>
          <w:tcPr/>
          <w:p>
            <w:pPr>
              <w:pStyle w:val="Compact"/>
              <w:jc w:val="center"/>
            </w:pPr>
            <w:r>
              <w:t xml:space="preserve">[29%, 33%]</w:t>
            </w:r>
          </w:p>
        </w:tc>
        <w:tc>
          <w:tcPr/>
          <w:p>
            <w:pPr>
              <w:pStyle w:val="Compact"/>
              <w:jc w:val="center"/>
            </w:pPr>
            <w:r>
              <w:t xml:space="preserve">0.95</w:t>
            </w:r>
          </w:p>
        </w:tc>
      </w:tr>
      <w:tr>
        <w:tc>
          <w:tcPr/>
          <w:p>
            <w:pPr>
              <w:pStyle w:val="Compact"/>
              <w:jc w:val="left"/>
            </w:pPr>
            <w:r>
              <w:t xml:space="preserve">Max Weight</w:t>
            </w:r>
            <w:r>
              <w:t xml:space="preserve"> </w:t>
            </w:r>
            <m:oMath>
              <m:sSub>
                <m:e>
                  <m:r>
                    <m:t>w</m:t>
                  </m:r>
                </m:e>
                <m:sub>
                  <m:r>
                    <m:rPr>
                      <m:sty m:val="p"/>
                    </m:rPr>
                    <m:t>max</m:t>
                  </m:r>
                </m:sub>
              </m:sSub>
            </m:oMath>
          </w:p>
        </w:tc>
        <w:tc>
          <w:tcPr/>
          <w:p>
            <w:pPr>
              <w:pStyle w:val="Compact"/>
              <w:jc w:val="center"/>
            </w:pPr>
            <w:r>
              <w:t xml:space="preserve">0.10, 0.15, 0.20</w:t>
            </w:r>
          </w:p>
        </w:tc>
        <w:tc>
          <w:tcPr/>
          <w:p>
            <w:pPr>
              <w:pStyle w:val="Compact"/>
              <w:jc w:val="center"/>
            </w:pPr>
            <w:r>
              <w:t xml:space="preserve">[0.17, 0.18]</w:t>
            </w:r>
          </w:p>
        </w:tc>
        <w:tc>
          <w:tcPr/>
          <w:p>
            <w:pPr>
              <w:pStyle w:val="Compact"/>
              <w:jc w:val="center"/>
            </w:pPr>
            <w:r>
              <w:t xml:space="preserve">[28%, 32%]</w:t>
            </w:r>
          </w:p>
        </w:tc>
        <w:tc>
          <w:tcPr/>
          <w:p>
            <w:pPr>
              <w:pStyle w:val="Compact"/>
              <w:jc w:val="center"/>
            </w:pPr>
            <w:r>
              <w:t xml:space="preserve">0.15</w:t>
            </w:r>
          </w:p>
        </w:tc>
      </w:tr>
      <w:tr>
        <w:tc>
          <w:tcPr/>
          <w:p>
            <w:pPr>
              <w:pStyle w:val="Compact"/>
              <w:jc w:val="left"/>
            </w:pPr>
            <w:r>
              <w:t xml:space="preserve">DD Limit</w:t>
            </w:r>
            <w:r>
              <w:t xml:space="preserve"> </w:t>
            </w:r>
            <m:oMath>
              <m:sSub>
                <m:e>
                  <m:r>
                    <m:t>D</m:t>
                  </m:r>
                </m:e>
                <m:sub>
                  <m:r>
                    <m:rPr>
                      <m:sty m:val="p"/>
                    </m:rPr>
                    <m:t>max</m:t>
                  </m:r>
                </m:sub>
              </m:sSub>
            </m:oMath>
          </w:p>
        </w:tc>
        <w:tc>
          <w:tcPr/>
          <w:p>
            <w:pPr>
              <w:pStyle w:val="Compact"/>
              <w:jc w:val="center"/>
            </w:pPr>
            <w:r>
              <w:t xml:space="preserve">0.25, 0.30, 0.35</w:t>
            </w:r>
          </w:p>
        </w:tc>
        <w:tc>
          <w:tcPr/>
          <w:p>
            <w:pPr>
              <w:pStyle w:val="Compact"/>
              <w:jc w:val="center"/>
            </w:pPr>
            <w:r>
              <w:t xml:space="preserve">[0.16, 0.19]</w:t>
            </w:r>
          </w:p>
        </w:tc>
        <w:tc>
          <w:tcPr/>
          <w:p>
            <w:pPr>
              <w:pStyle w:val="Compact"/>
              <w:jc w:val="center"/>
            </w:pPr>
            <w:r>
              <w:t xml:space="preserve">[25%, 35%]</w:t>
            </w:r>
          </w:p>
        </w:tc>
        <w:tc>
          <w:tcPr/>
          <w:p>
            <w:pPr>
              <w:pStyle w:val="Compact"/>
              <w:jc w:val="center"/>
            </w:pPr>
            <w:r>
              <w:t xml:space="preserve">0.30</w:t>
            </w:r>
          </w:p>
        </w:tc>
      </w:tr>
    </w:tbl>
    <w:bookmarkEnd w:id="36"/>
    <w:p>
      <w:pPr>
        <w:pStyle w:val="BodyText"/>
      </w:pPr>
      <w:r>
        <w:t xml:space="preserve">Results show robust performance across reasonable parameter ranges, with optimal values:</w:t>
      </w:r>
      <w:r>
        <w:t xml:space="preserve"> </w:t>
      </w:r>
      <m:oMath>
        <m:r>
          <m:t>W</m:t>
        </m:r>
        <m:r>
          <m:rPr>
            <m:sty m:val="p"/>
          </m:rPr>
          <m:t>=</m:t>
        </m:r>
        <m:r>
          <m:t>60</m:t>
        </m:r>
      </m:oMath>
      <w:r>
        <w:t xml:space="preserve">,</w:t>
      </w:r>
      <w:r>
        <w:t xml:space="preserve"> </w:t>
      </w:r>
      <m:oMath>
        <m:r>
          <m:t>γ</m:t>
        </m:r>
        <m:r>
          <m:rPr>
            <m:sty m:val="p"/>
          </m:rPr>
          <m:t>=</m:t>
        </m:r>
        <m:r>
          <m:t>0.95</m:t>
        </m:r>
      </m:oMath>
      <w:r>
        <w:t xml:space="preserve">,</w:t>
      </w:r>
      <w:r>
        <w:t xml:space="preserve"> </w:t>
      </w:r>
      <m:oMath>
        <m:sSub>
          <m:e>
            <m:r>
              <m:t>w</m:t>
            </m:r>
          </m:e>
          <m:sub>
            <m:r>
              <m:rPr>
                <m:sty m:val="p"/>
              </m:rPr>
              <m:t>max</m:t>
            </m:r>
          </m:sub>
        </m:sSub>
        <m:r>
          <m:rPr>
            <m:sty m:val="p"/>
          </m:rPr>
          <m:t>=</m:t>
        </m:r>
        <m:r>
          <m:t>0.15</m:t>
        </m:r>
      </m:oMath>
      <w:r>
        <w:t xml:space="preserve">,</w:t>
      </w:r>
      <w:r>
        <w:t xml:space="preserve"> </w:t>
      </w:r>
      <m:oMath>
        <m:sSub>
          <m:e>
            <m:r>
              <m:t>D</m:t>
            </m:r>
          </m:e>
          <m:sub>
            <m:r>
              <m:rPr>
                <m:sty m:val="p"/>
              </m:rPr>
              <m:t>max</m:t>
            </m:r>
          </m:sub>
        </m:sSub>
        <m:r>
          <m:rPr>
            <m:sty m:val="p"/>
          </m:rPr>
          <m:t>=</m:t>
        </m:r>
        <m:r>
          <m:t>0.30</m:t>
        </m:r>
      </m:oMath>
      <w:r>
        <w:t xml:space="preserve">.</w:t>
      </w:r>
    </w:p>
    <w:bookmarkEnd w:id="37"/>
    <w:bookmarkStart w:id="38" w:name="baseline-comparison-methods"/>
    <w:p>
      <w:pPr>
        <w:pStyle w:val="Heading2"/>
      </w:pPr>
      <w:r>
        <w:t xml:space="preserve">Baseline Comparison Methods</w:t>
      </w:r>
    </w:p>
    <w:p>
      <w:pPr>
        <w:pStyle w:val="FirstParagraph"/>
      </w:pPr>
      <w:r>
        <w:t xml:space="preserve">We compare the proposed IC-based dynamic weighting against three baselines:</w:t>
      </w:r>
    </w:p>
    <w:p>
      <w:pPr>
        <w:numPr>
          <w:ilvl w:val="0"/>
          <w:numId w:val="1008"/>
        </w:numPr>
      </w:pPr>
      <w:r>
        <w:rPr>
          <w:b/>
          <w:bCs/>
        </w:rPr>
        <w:t xml:space="preserve">Equal Weight</w:t>
      </w:r>
      <w:r>
        <w:t xml:space="preserve">: All 25 factors receive equal weight</w:t>
      </w:r>
      <w:r>
        <w:t xml:space="preserve"> </w:t>
      </w:r>
      <m:oMath>
        <m:sSub>
          <m:e>
            <m:r>
              <m:t>w</m:t>
            </m:r>
          </m:e>
          <m:sub>
            <m:r>
              <m:t>f</m:t>
            </m:r>
          </m:sub>
        </m:sSub>
        <m:r>
          <m:rPr>
            <m:sty m:val="p"/>
          </m:rPr>
          <m:t>=</m:t>
        </m:r>
        <m:r>
          <m:t>1</m:t>
        </m:r>
        <m:r>
          <m:rPr>
            <m:sty m:val="p"/>
          </m:rPr>
          <m:t>/</m:t>
        </m:r>
        <m:r>
          <m:t>25</m:t>
        </m:r>
      </m:oMath>
    </w:p>
    <w:p>
      <w:pPr>
        <w:numPr>
          <w:ilvl w:val="0"/>
          <w:numId w:val="1008"/>
        </w:numPr>
      </w:pPr>
      <w:r>
        <w:rPr>
          <w:b/>
          <w:bCs/>
        </w:rPr>
        <w:t xml:space="preserve">Static IC Weight</w:t>
      </w:r>
      <w:r>
        <w:t xml:space="preserve">: Weights based on full-period IC estimates without updating</w:t>
      </w:r>
    </w:p>
    <w:p>
      <w:pPr>
        <w:numPr>
          <w:ilvl w:val="0"/>
          <w:numId w:val="1008"/>
        </w:numPr>
      </w:pPr>
      <w:r>
        <w:rPr>
          <w:b/>
          <w:bCs/>
        </w:rPr>
        <w:t xml:space="preserve">IC Weight without Regime</w:t>
      </w:r>
      <w:r>
        <w:t xml:space="preserve">: Pure IC-based weighting without regime multipliers</w:t>
      </w:r>
    </w:p>
    <w:p>
      <w:pPr>
        <w:pStyle w:val="FirstParagraph"/>
      </w:pPr>
      <w:r>
        <w:t xml:space="preserve">This decomposition allows us to quantify the marginal contribution of (1) dynamic updating versus static weights, and (2) regime-aware adjustments versus pure IC weighting.</w:t>
      </w:r>
    </w:p>
    <w:bookmarkEnd w:id="38"/>
    <w:bookmarkEnd w:id="39"/>
    <w:bookmarkStart w:id="53" w:name="sec:experiments"/>
    <w:p>
      <w:pPr>
        <w:pStyle w:val="Heading1"/>
      </w:pPr>
      <w:r>
        <w:t xml:space="preserve">Experiments</w:t>
      </w:r>
    </w:p>
    <w:bookmarkStart w:id="40" w:name="data-acquisition"/>
    <w:p>
      <w:pPr>
        <w:pStyle w:val="Heading2"/>
      </w:pPr>
      <w:r>
        <w:t xml:space="preserve">Data Acquisition</w:t>
      </w:r>
    </w:p>
    <w:p>
      <w:pPr>
        <w:pStyle w:val="FirstParagraph"/>
      </w:pPr>
      <w:r>
        <w:t xml:space="preserve">We obtained real CSI 300 market data via Baostock API:</w:t>
      </w:r>
    </w:p>
    <w:p>
      <w:pPr>
        <w:pStyle w:val="TableCaption"/>
      </w:pPr>
      <w:r>
        <w:t xml:space="preserve">Data Summary</w:t>
      </w:r>
    </w:p>
    <w:tbl>
      <w:tblPr>
        <w:tblStyle w:val="Table"/>
        <w:tblW w:type="auto" w:w="0"/>
        <w:tblLook w:firstRow="1" w:lastRow="0" w:firstColumn="0" w:lastColumn="0" w:noHBand="0" w:noVBand="0" w:val="0020"/>
        <w:tblCaption w:val="Data Summary"/>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Data Source</w:t>
            </w:r>
          </w:p>
        </w:tc>
        <w:tc>
          <w:tcPr/>
          <w:p>
            <w:pPr>
              <w:pStyle w:val="Compact"/>
              <w:jc w:val="left"/>
            </w:pPr>
            <w:r>
              <w:t xml:space="preserve">Baostock API</w:t>
            </w:r>
          </w:p>
        </w:tc>
      </w:tr>
      <w:tr>
        <w:tc>
          <w:tcPr/>
          <w:p>
            <w:pPr>
              <w:pStyle w:val="Compact"/>
              <w:jc w:val="left"/>
            </w:pPr>
            <w:r>
              <w:t xml:space="preserve">Stocks</w:t>
            </w:r>
          </w:p>
        </w:tc>
        <w:tc>
          <w:tcPr/>
          <w:p>
            <w:pPr>
              <w:pStyle w:val="Compact"/>
              <w:jc w:val="left"/>
            </w:pPr>
            <w:r>
              <w:t xml:space="preserve">94 CSI 300 constituents</w:t>
            </w:r>
          </w:p>
        </w:tc>
      </w:tr>
      <w:tr>
        <w:tc>
          <w:tcPr/>
          <w:p>
            <w:pPr>
              <w:pStyle w:val="Compact"/>
              <w:jc w:val="left"/>
            </w:pPr>
            <w:r>
              <w:t xml:space="preserve">Period</w:t>
            </w:r>
          </w:p>
        </w:tc>
        <w:tc>
          <w:tcPr/>
          <w:p>
            <w:pPr>
              <w:pStyle w:val="Compact"/>
              <w:jc w:val="left"/>
            </w:pPr>
            <w:r>
              <w:t xml:space="preserve">2020-01-01 to 2024-12-31</w:t>
            </w:r>
          </w:p>
        </w:tc>
      </w:tr>
      <w:tr>
        <w:tc>
          <w:tcPr/>
          <w:p>
            <w:pPr>
              <w:pStyle w:val="Compact"/>
              <w:jc w:val="left"/>
            </w:pPr>
            <w:r>
              <w:t xml:space="preserve">Trading Days</w:t>
            </w:r>
          </w:p>
        </w:tc>
        <w:tc>
          <w:tcPr/>
          <w:p>
            <w:pPr>
              <w:pStyle w:val="Compact"/>
              <w:jc w:val="left"/>
            </w:pPr>
            <w:r>
              <w:t xml:space="preserve">1,212</w:t>
            </w:r>
          </w:p>
        </w:tc>
      </w:tr>
      <w:tr>
        <w:tc>
          <w:tcPr/>
          <w:p>
            <w:pPr>
              <w:pStyle w:val="Compact"/>
              <w:jc w:val="left"/>
            </w:pPr>
            <w:r>
              <w:t xml:space="preserve">Total Records</w:t>
            </w:r>
          </w:p>
        </w:tc>
        <w:tc>
          <w:tcPr/>
          <w:p>
            <w:pPr>
              <w:pStyle w:val="Compact"/>
              <w:jc w:val="left"/>
            </w:pPr>
            <w:r>
              <w:t xml:space="preserve">71,508+</w:t>
            </w:r>
          </w:p>
        </w:tc>
      </w:tr>
      <w:tr>
        <w:tc>
          <w:tcPr/>
          <w:p>
            <w:pPr>
              <w:pStyle w:val="Compact"/>
              <w:jc w:val="left"/>
            </w:pPr>
            <w:r>
              <w:t xml:space="preserve">Update Frequency</w:t>
            </w:r>
          </w:p>
        </w:tc>
        <w:tc>
          <w:tcPr/>
          <w:p>
            <w:pPr>
              <w:pStyle w:val="Compact"/>
              <w:jc w:val="left"/>
            </w:pPr>
            <w:r>
              <w:t xml:space="preserve">Daily (end-of-day)</w:t>
            </w:r>
          </w:p>
        </w:tc>
      </w:tr>
    </w:tbl>
    <w:p>
      <w:pPr>
        <w:pStyle w:val="BodyText"/>
      </w:pPr>
      <w:r>
        <w:rPr>
          <w:b/>
          <w:bCs/>
        </w:rPr>
        <w:t xml:space="preserve">Data Quality</w:t>
      </w:r>
      <w:r>
        <w:t xml:space="preserve">:</w:t>
      </w:r>
    </w:p>
    <w:p>
      <w:pPr>
        <w:numPr>
          <w:ilvl w:val="0"/>
          <w:numId w:val="1009"/>
        </w:numPr>
      </w:pPr>
      <w:r>
        <w:t xml:space="preserve">Adjusted prices (splits, dividends)</w:t>
      </w:r>
    </w:p>
    <w:p>
      <w:pPr>
        <w:numPr>
          <w:ilvl w:val="0"/>
          <w:numId w:val="1009"/>
        </w:numPr>
      </w:pPr>
      <w:r>
        <w:t xml:space="preserve">No missing values in final dataset</w:t>
      </w:r>
    </w:p>
    <w:p>
      <w:pPr>
        <w:numPr>
          <w:ilvl w:val="0"/>
          <w:numId w:val="1009"/>
        </w:numPr>
      </w:pPr>
      <w:r>
        <w:rPr>
          <w:b/>
          <w:bCs/>
        </w:rPr>
        <w:t xml:space="preserve">Survivorship bias limitation</w:t>
      </w:r>
      <w:r>
        <w:t xml:space="preserve">: Delisted stocks excluded from sample—this may overestimate returns by 1-2% annually (see Discussion section for detailed analysis)</w:t>
      </w:r>
    </w:p>
    <w:bookmarkEnd w:id="40"/>
    <w:bookmarkStart w:id="41" w:name="factor-construction"/>
    <w:p>
      <w:pPr>
        <w:pStyle w:val="Heading2"/>
      </w:pPr>
      <w:r>
        <w:t xml:space="preserve">Factor Construction</w:t>
      </w:r>
    </w:p>
    <w:p>
      <w:pPr>
        <w:pStyle w:val="FirstParagraph"/>
      </w:pPr>
      <w:r>
        <w:t xml:space="preserve">We compute 10 factors commonly used in academic literature:</w:t>
      </w:r>
    </w:p>
    <w:p>
      <w:pPr>
        <w:pStyle w:val="TableCaption"/>
      </w:pPr>
      <w:r>
        <w:t xml:space="preserve">Factor Definitions</w:t>
      </w:r>
    </w:p>
    <w:tbl>
      <w:tblPr>
        <w:tblStyle w:val="Table"/>
        <w:tblW w:type="auto" w:w="0"/>
        <w:tblLook w:firstRow="1" w:lastRow="0" w:firstColumn="0" w:lastColumn="0" w:noHBand="0" w:noVBand="0" w:val="0020"/>
        <w:tblCaption w:val="Factor Definitions"/>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Formula</w:t>
            </w:r>
          </w:p>
        </w:tc>
        <w:tc>
          <w:tcPr/>
          <w:p>
            <w:pPr>
              <w:pStyle w:val="Compact"/>
              <w:jc w:val="center"/>
            </w:pPr>
            <w:r>
              <w:t xml:space="preserve">Category</w:t>
            </w:r>
          </w:p>
        </w:tc>
      </w:tr>
      <w:tr>
        <w:tc>
          <w:tcPr/>
          <w:p>
            <w:pPr>
              <w:pStyle w:val="Compact"/>
              <w:jc w:val="left"/>
            </w:pPr>
            <w:r>
              <w:t xml:space="preserve">return_20d</w:t>
            </w:r>
          </w:p>
        </w:tc>
        <w:tc>
          <w:tcPr/>
          <w:p>
            <w:pPr>
              <w:pStyle w:val="Compact"/>
              <w:jc w:val="left"/>
            </w:pPr>
            <m:oMath>
              <m:r>
                <m:rPr>
                  <m:sty m:val="p"/>
                </m:rPr>
                <m:t>(</m:t>
              </m:r>
              <m:sSub>
                <m:e>
                  <m:r>
                    <m:t>P</m:t>
                  </m:r>
                </m:e>
                <m:sub>
                  <m:r>
                    <m:t>t</m:t>
                  </m:r>
                </m:sub>
              </m:sSub>
              <m:r>
                <m:rPr>
                  <m:sty m:val="p"/>
                </m:rPr>
                <m:t>/</m:t>
              </m:r>
              <m:sSub>
                <m:e>
                  <m:r>
                    <m:t>P</m:t>
                  </m:r>
                </m:e>
                <m:sub>
                  <m:r>
                    <m:t>t</m:t>
                  </m:r>
                  <m:r>
                    <m:rPr>
                      <m:sty m:val="p"/>
                    </m:rPr>
                    <m:t>−</m:t>
                  </m:r>
                  <m:r>
                    <m:t>20</m:t>
                  </m:r>
                </m:sub>
              </m:sSub>
              <m:r>
                <m:rPr>
                  <m:sty m:val="p"/>
                </m:rPr>
                <m:t>)</m:t>
              </m:r>
              <m:r>
                <m:rPr>
                  <m:sty m:val="p"/>
                </m:rPr>
                <m:t>−</m:t>
              </m:r>
              <m:r>
                <m:t>1</m:t>
              </m:r>
            </m:oMath>
          </w:p>
        </w:tc>
        <w:tc>
          <w:tcPr/>
          <w:p>
            <w:pPr>
              <w:pStyle w:val="Compact"/>
              <w:jc w:val="center"/>
            </w:pPr>
            <w:r>
              <w:t xml:space="preserve">Momentum</w:t>
            </w:r>
          </w:p>
        </w:tc>
      </w:tr>
      <w:tr>
        <w:tc>
          <w:tcPr/>
          <w:p>
            <w:pPr>
              <w:pStyle w:val="Compact"/>
              <w:jc w:val="left"/>
            </w:pPr>
            <w:r>
              <w:t xml:space="preserve">return_60d</w:t>
            </w:r>
          </w:p>
        </w:tc>
        <w:tc>
          <w:tcPr/>
          <w:p>
            <w:pPr>
              <w:pStyle w:val="Compact"/>
              <w:jc w:val="left"/>
            </w:pPr>
            <m:oMath>
              <m:r>
                <m:rPr>
                  <m:sty m:val="p"/>
                </m:rPr>
                <m:t>(</m:t>
              </m:r>
              <m:sSub>
                <m:e>
                  <m:r>
                    <m:t>P</m:t>
                  </m:r>
                </m:e>
                <m:sub>
                  <m:r>
                    <m:t>t</m:t>
                  </m:r>
                </m:sub>
              </m:sSub>
              <m:r>
                <m:rPr>
                  <m:sty m:val="p"/>
                </m:rPr>
                <m:t>/</m:t>
              </m:r>
              <m:sSub>
                <m:e>
                  <m:r>
                    <m:t>P</m:t>
                  </m:r>
                </m:e>
                <m:sub>
                  <m:r>
                    <m:t>t</m:t>
                  </m:r>
                  <m:r>
                    <m:rPr>
                      <m:sty m:val="p"/>
                    </m:rPr>
                    <m:t>−</m:t>
                  </m:r>
                  <m:r>
                    <m:t>60</m:t>
                  </m:r>
                </m:sub>
              </m:sSub>
              <m:r>
                <m:rPr>
                  <m:sty m:val="p"/>
                </m:rPr>
                <m:t>)</m:t>
              </m:r>
              <m:r>
                <m:rPr>
                  <m:sty m:val="p"/>
                </m:rPr>
                <m:t>−</m:t>
              </m:r>
              <m:r>
                <m:t>1</m:t>
              </m:r>
            </m:oMath>
          </w:p>
        </w:tc>
        <w:tc>
          <w:tcPr/>
          <w:p>
            <w:pPr>
              <w:pStyle w:val="Compact"/>
              <w:jc w:val="center"/>
            </w:pPr>
            <w:r>
              <w:t xml:space="preserve">Momentum</w:t>
            </w:r>
          </w:p>
        </w:tc>
      </w:tr>
      <w:tr>
        <w:tc>
          <w:tcPr/>
          <w:p>
            <w:pPr>
              <w:pStyle w:val="Compact"/>
              <w:jc w:val="left"/>
            </w:pPr>
            <w:r>
              <w:t xml:space="preserve">return_120d</w:t>
            </w:r>
          </w:p>
        </w:tc>
        <w:tc>
          <w:tcPr/>
          <w:p>
            <w:pPr>
              <w:pStyle w:val="Compact"/>
              <w:jc w:val="left"/>
            </w:pPr>
            <m:oMath>
              <m:r>
                <m:rPr>
                  <m:sty m:val="p"/>
                </m:rPr>
                <m:t>(</m:t>
              </m:r>
              <m:sSub>
                <m:e>
                  <m:r>
                    <m:t>P</m:t>
                  </m:r>
                </m:e>
                <m:sub>
                  <m:r>
                    <m:t>t</m:t>
                  </m:r>
                </m:sub>
              </m:sSub>
              <m:r>
                <m:rPr>
                  <m:sty m:val="p"/>
                </m:rPr>
                <m:t>/</m:t>
              </m:r>
              <m:sSub>
                <m:e>
                  <m:r>
                    <m:t>P</m:t>
                  </m:r>
                </m:e>
                <m:sub>
                  <m:r>
                    <m:t>t</m:t>
                  </m:r>
                  <m:r>
                    <m:rPr>
                      <m:sty m:val="p"/>
                    </m:rPr>
                    <m:t>−</m:t>
                  </m:r>
                  <m:r>
                    <m:t>120</m:t>
                  </m:r>
                </m:sub>
              </m:sSub>
              <m:r>
                <m:rPr>
                  <m:sty m:val="p"/>
                </m:rPr>
                <m:t>)</m:t>
              </m:r>
              <m:r>
                <m:rPr>
                  <m:sty m:val="p"/>
                </m:rPr>
                <m:t>−</m:t>
              </m:r>
              <m:r>
                <m:t>1</m:t>
              </m:r>
            </m:oMath>
          </w:p>
        </w:tc>
        <w:tc>
          <w:tcPr/>
          <w:p>
            <w:pPr>
              <w:pStyle w:val="Compact"/>
              <w:jc w:val="center"/>
            </w:pPr>
            <w:r>
              <w:t xml:space="preserve">Momentum</w:t>
            </w:r>
          </w:p>
        </w:tc>
      </w:tr>
      <w:tr>
        <w:tc>
          <w:tcPr/>
          <w:p>
            <w:pPr>
              <w:pStyle w:val="Compact"/>
              <w:jc w:val="left"/>
            </w:pPr>
            <w:r>
              <w:t xml:space="preserve">ma_return_20d</w:t>
            </w:r>
          </w:p>
        </w:tc>
        <w:tc>
          <w:tcPr/>
          <w:p>
            <w:pPr>
              <w:pStyle w:val="Compact"/>
              <w:jc w:val="left"/>
            </w:pPr>
            <m:oMath>
              <m:sSub>
                <m:e>
                  <m:r>
                    <m:t>P</m:t>
                  </m:r>
                </m:e>
                <m:sub>
                  <m:r>
                    <m:t>t</m:t>
                  </m:r>
                </m:sub>
              </m:sSub>
              <m:r>
                <m:rPr>
                  <m:sty m:val="p"/>
                </m:rPr>
                <m:t>/</m:t>
              </m:r>
              <m:r>
                <m:t>M</m:t>
              </m:r>
              <m:sSub>
                <m:e>
                  <m:r>
                    <m:t>A</m:t>
                  </m:r>
                </m:e>
                <m:sub>
                  <m:r>
                    <m:t>20</m:t>
                  </m:r>
                </m:sub>
              </m:sSub>
              <m:r>
                <m:rPr>
                  <m:sty m:val="p"/>
                </m:rPr>
                <m:t>−</m:t>
              </m:r>
              <m:r>
                <m:t>1</m:t>
              </m:r>
            </m:oMath>
          </w:p>
        </w:tc>
        <w:tc>
          <w:tcPr/>
          <w:p>
            <w:pPr>
              <w:pStyle w:val="Compact"/>
              <w:jc w:val="center"/>
            </w:pPr>
            <w:r>
              <w:t xml:space="preserve">Trend</w:t>
            </w:r>
          </w:p>
        </w:tc>
      </w:tr>
      <w:tr>
        <w:tc>
          <w:tcPr/>
          <w:p>
            <w:pPr>
              <w:pStyle w:val="Compact"/>
              <w:jc w:val="left"/>
            </w:pPr>
            <w:r>
              <w:t xml:space="preserve">momentum_12m</w:t>
            </w:r>
          </w:p>
        </w:tc>
        <w:tc>
          <w:tcPr/>
          <w:p>
            <w:pPr>
              <w:pStyle w:val="Compact"/>
              <w:jc w:val="left"/>
            </w:pPr>
            <m:oMath>
              <m:r>
                <m:rPr>
                  <m:sty m:val="p"/>
                </m:rPr>
                <m:t>(</m:t>
              </m:r>
              <m:sSub>
                <m:e>
                  <m:r>
                    <m:t>P</m:t>
                  </m:r>
                </m:e>
                <m:sub>
                  <m:r>
                    <m:t>t</m:t>
                  </m:r>
                </m:sub>
              </m:sSub>
              <m:r>
                <m:rPr>
                  <m:sty m:val="p"/>
                </m:rPr>
                <m:t>/</m:t>
              </m:r>
              <m:sSub>
                <m:e>
                  <m:r>
                    <m:t>P</m:t>
                  </m:r>
                </m:e>
                <m:sub>
                  <m:r>
                    <m:t>t</m:t>
                  </m:r>
                  <m:r>
                    <m:rPr>
                      <m:sty m:val="p"/>
                    </m:rPr>
                    <m:t>−</m:t>
                  </m:r>
                  <m:r>
                    <m:t>252</m:t>
                  </m:r>
                </m:sub>
              </m:sSub>
              <m:r>
                <m:rPr>
                  <m:sty m:val="p"/>
                </m:rPr>
                <m:t>)</m:t>
              </m:r>
              <m:r>
                <m:rPr>
                  <m:sty m:val="p"/>
                </m:rPr>
                <m:t>−</m:t>
              </m:r>
              <m:r>
                <m:t>1</m:t>
              </m:r>
            </m:oMath>
          </w:p>
        </w:tc>
        <w:tc>
          <w:tcPr/>
          <w:p>
            <w:pPr>
              <w:pStyle w:val="Compact"/>
              <w:jc w:val="center"/>
            </w:pPr>
            <w:r>
              <w:t xml:space="preserve">Momentum</w:t>
            </w:r>
          </w:p>
        </w:tc>
      </w:tr>
      <w:tr>
        <w:tc>
          <w:tcPr/>
          <w:p>
            <w:pPr>
              <w:pStyle w:val="Compact"/>
              <w:jc w:val="left"/>
            </w:pPr>
            <w:r>
              <w:t xml:space="preserve">reversal_5d</w:t>
            </w:r>
          </w:p>
        </w:tc>
        <w:tc>
          <w:tcPr/>
          <w:p>
            <w:pPr>
              <w:pStyle w:val="Compact"/>
              <w:jc w:val="left"/>
            </w:pPr>
            <m:oMath>
              <m:nary>
                <m:naryPr>
                  <m:chr m:val="∑"/>
                  <m:limLoc m:val="undOvr"/>
                  <m:subHide m:val="off"/>
                  <m:supHide m:val="off"/>
                </m:naryPr>
                <m:sub>
                  <m:r>
                    <m:t>i</m:t>
                  </m:r>
                  <m:r>
                    <m:rPr>
                      <m:sty m:val="p"/>
                    </m:rPr>
                    <m:t>=</m:t>
                  </m:r>
                  <m:r>
                    <m:t>1</m:t>
                  </m:r>
                </m:sub>
                <m:sup>
                  <m:r>
                    <m:t>5</m:t>
                  </m:r>
                </m:sup>
                <m:e>
                  <m:sSub>
                    <m:e>
                      <m:r>
                        <m:t>r</m:t>
                      </m:r>
                    </m:e>
                    <m:sub>
                      <m:r>
                        <m:t>i</m:t>
                      </m:r>
                    </m:sub>
                  </m:sSub>
                </m:e>
              </m:nary>
            </m:oMath>
          </w:p>
        </w:tc>
        <w:tc>
          <w:tcPr/>
          <w:p>
            <w:pPr>
              <w:pStyle w:val="Compact"/>
              <w:jc w:val="center"/>
            </w:pPr>
            <w:r>
              <w:t xml:space="preserve">Reversal</w:t>
            </w:r>
          </w:p>
        </w:tc>
      </w:tr>
      <w:tr>
        <w:tc>
          <w:tcPr/>
          <w:p>
            <w:pPr>
              <w:pStyle w:val="Compact"/>
              <w:jc w:val="left"/>
            </w:pPr>
            <w:r>
              <w:t xml:space="preserve">reversal_20d</w:t>
            </w:r>
          </w:p>
        </w:tc>
        <w:tc>
          <w:tcPr/>
          <w:p>
            <w:pPr>
              <w:pStyle w:val="Compact"/>
              <w:jc w:val="left"/>
            </w:pPr>
            <m:oMath>
              <m:nary>
                <m:naryPr>
                  <m:chr m:val="∑"/>
                  <m:limLoc m:val="undOvr"/>
                  <m:subHide m:val="off"/>
                  <m:supHide m:val="off"/>
                </m:naryPr>
                <m:sub>
                  <m:r>
                    <m:t>i</m:t>
                  </m:r>
                  <m:r>
                    <m:rPr>
                      <m:sty m:val="p"/>
                    </m:rPr>
                    <m:t>=</m:t>
                  </m:r>
                  <m:r>
                    <m:t>1</m:t>
                  </m:r>
                </m:sub>
                <m:sup>
                  <m:r>
                    <m:t>20</m:t>
                  </m:r>
                </m:sup>
                <m:e>
                  <m:sSub>
                    <m:e>
                      <m:r>
                        <m:t>r</m:t>
                      </m:r>
                    </m:e>
                    <m:sub>
                      <m:r>
                        <m:t>i</m:t>
                      </m:r>
                    </m:sub>
                  </m:sSub>
                </m:e>
              </m:nary>
            </m:oMath>
          </w:p>
        </w:tc>
        <w:tc>
          <w:tcPr/>
          <w:p>
            <w:pPr>
              <w:pStyle w:val="Compact"/>
              <w:jc w:val="center"/>
            </w:pPr>
            <w:r>
              <w:t xml:space="preserve">Reversal</w:t>
            </w:r>
          </w:p>
        </w:tc>
      </w:tr>
      <w:tr>
        <w:tc>
          <w:tcPr/>
          <w:p>
            <w:pPr>
              <w:pStyle w:val="Compact"/>
              <w:jc w:val="left"/>
            </w:pPr>
            <w:r>
              <w:t xml:space="preserve">volatility_20d</w:t>
            </w:r>
          </w:p>
        </w:tc>
        <w:tc>
          <w:tcPr/>
          <w:p>
            <w:pPr>
              <w:pStyle w:val="Compact"/>
              <w:jc w:val="left"/>
            </w:pPr>
            <m:oMath>
              <m:sSub>
                <m:e>
                  <m:r>
                    <m:t>σ</m:t>
                  </m:r>
                </m:e>
                <m:sub>
                  <m:r>
                    <m:t>20</m:t>
                  </m:r>
                </m:sub>
              </m:sSub>
              <m:r>
                <m:rPr>
                  <m:sty m:val="p"/>
                </m:rPr>
                <m:t>×</m:t>
              </m:r>
              <m:rad>
                <m:radPr>
                  <m:degHide m:val="on"/>
                </m:radPr>
                <m:deg/>
                <m:e>
                  <m:r>
                    <m:t>252</m:t>
                  </m:r>
                </m:e>
              </m:rad>
            </m:oMath>
          </w:p>
        </w:tc>
        <w:tc>
          <w:tcPr/>
          <w:p>
            <w:pPr>
              <w:pStyle w:val="Compact"/>
              <w:jc w:val="center"/>
            </w:pPr>
            <w:r>
              <w:t xml:space="preserve">Risk</w:t>
            </w:r>
          </w:p>
        </w:tc>
      </w:tr>
      <w:tr>
        <w:tc>
          <w:tcPr/>
          <w:p>
            <w:pPr>
              <w:pStyle w:val="Compact"/>
              <w:jc w:val="left"/>
            </w:pPr>
            <w:r>
              <w:t xml:space="preserve">volatility_60d</w:t>
            </w:r>
          </w:p>
        </w:tc>
        <w:tc>
          <w:tcPr/>
          <w:p>
            <w:pPr>
              <w:pStyle w:val="Compact"/>
              <w:jc w:val="left"/>
            </w:pPr>
            <m:oMath>
              <m:sSub>
                <m:e>
                  <m:r>
                    <m:t>σ</m:t>
                  </m:r>
                </m:e>
                <m:sub>
                  <m:r>
                    <m:t>60</m:t>
                  </m:r>
                </m:sub>
              </m:sSub>
              <m:r>
                <m:rPr>
                  <m:sty m:val="p"/>
                </m:rPr>
                <m:t>×</m:t>
              </m:r>
              <m:rad>
                <m:radPr>
                  <m:degHide m:val="on"/>
                </m:radPr>
                <m:deg/>
                <m:e>
                  <m:r>
                    <m:t>252</m:t>
                  </m:r>
                </m:e>
              </m:rad>
            </m:oMath>
          </w:p>
        </w:tc>
        <w:tc>
          <w:tcPr/>
          <w:p>
            <w:pPr>
              <w:pStyle w:val="Compact"/>
              <w:jc w:val="center"/>
            </w:pPr>
            <w:r>
              <w:t xml:space="preserve">Risk</w:t>
            </w:r>
          </w:p>
        </w:tc>
      </w:tr>
      <w:tr>
        <w:tc>
          <w:tcPr/>
          <w:p>
            <w:pPr>
              <w:pStyle w:val="Compact"/>
              <w:jc w:val="left"/>
            </w:pPr>
            <w:r>
              <w:t xml:space="preserve">volume_ratio</w:t>
            </w:r>
          </w:p>
        </w:tc>
        <w:tc>
          <w:tcPr/>
          <w:p>
            <w:pPr>
              <w:pStyle w:val="Compact"/>
              <w:jc w:val="left"/>
            </w:pPr>
            <m:oMath>
              <m:sSubSup>
                <m:e>
                  <m:r>
                    <m:t>V</m:t>
                  </m:r>
                </m:e>
                <m:sub>
                  <m:r>
                    <m:t>20</m:t>
                  </m:r>
                </m:sub>
                <m:sup>
                  <m:r>
                    <m:t>a</m:t>
                  </m:r>
                  <m:r>
                    <m:t>v</m:t>
                  </m:r>
                  <m:r>
                    <m:t>g</m:t>
                  </m:r>
                </m:sup>
              </m:sSubSup>
              <m:r>
                <m:rPr>
                  <m:sty m:val="p"/>
                </m:rPr>
                <m:t>/</m:t>
              </m:r>
              <m:sSubSup>
                <m:e>
                  <m:r>
                    <m:t>V</m:t>
                  </m:r>
                </m:e>
                <m:sub>
                  <m:r>
                    <m:t>60</m:t>
                  </m:r>
                </m:sub>
                <m:sup>
                  <m:r>
                    <m:t>a</m:t>
                  </m:r>
                  <m:r>
                    <m:t>v</m:t>
                  </m:r>
                  <m:r>
                    <m:t>g</m:t>
                  </m:r>
                </m:sup>
              </m:sSubSup>
            </m:oMath>
          </w:p>
        </w:tc>
        <w:tc>
          <w:tcPr/>
          <w:p>
            <w:pPr>
              <w:pStyle w:val="Compact"/>
              <w:jc w:val="center"/>
            </w:pPr>
            <w:r>
              <w:t xml:space="preserve">Liquidity</w:t>
            </w:r>
          </w:p>
        </w:tc>
      </w:tr>
    </w:tbl>
    <w:p>
      <w:pPr>
        <w:pStyle w:val="BodyText"/>
      </w:pPr>
      <w:r>
        <w:rPr>
          <w:b/>
          <w:bCs/>
        </w:rPr>
        <w:t xml:space="preserve">Processing</w:t>
      </w:r>
      <w:r>
        <w:t xml:space="preserve">:</w:t>
      </w:r>
    </w:p>
    <w:p>
      <w:pPr>
        <w:numPr>
          <w:ilvl w:val="0"/>
          <w:numId w:val="1010"/>
        </w:numPr>
      </w:pPr>
      <w:r>
        <w:t xml:space="preserve">Winsorize at 1st/99th percentiles (cross-sectional)</w:t>
      </w:r>
    </w:p>
    <w:p>
      <w:pPr>
        <w:numPr>
          <w:ilvl w:val="0"/>
          <w:numId w:val="1010"/>
        </w:numPr>
      </w:pPr>
      <w:r>
        <w:t xml:space="preserve">Standardize to z-scores (cross-sectional)</w:t>
      </w:r>
    </w:p>
    <w:p>
      <w:pPr>
        <w:numPr>
          <w:ilvl w:val="0"/>
          <w:numId w:val="1010"/>
        </w:numPr>
      </w:pPr>
      <w:r>
        <w:t xml:space="preserve">Handle missing values with forward fill (max 5 days)</w:t>
      </w:r>
    </w:p>
    <w:bookmarkEnd w:id="41"/>
    <w:bookmarkStart w:id="42" w:name="ic-calculation"/>
    <w:p>
      <w:pPr>
        <w:pStyle w:val="Heading2"/>
      </w:pPr>
      <w:r>
        <w:t xml:space="preserve">IC Calculation</w:t>
      </w:r>
    </w:p>
    <w:p>
      <w:pPr>
        <w:pStyle w:val="FirstParagraph"/>
      </w:pPr>
      <w:r>
        <w:t xml:space="preserve">For each trading day</w:t>
      </w:r>
      <w:r>
        <w:t xml:space="preserve"> </w:t>
      </w:r>
      <m:oMath>
        <m:r>
          <m:t>t</m:t>
        </m:r>
      </m:oMath>
      <w:r>
        <w:t xml:space="preserve">:</w:t>
      </w:r>
    </w:p>
    <w:p>
      <w:pPr>
        <w:numPr>
          <w:ilvl w:val="0"/>
          <w:numId w:val="1011"/>
        </w:numPr>
      </w:pPr>
      <w:r>
        <w:t xml:space="preserve">Compute factor values for all stocks</w:t>
      </w:r>
    </w:p>
    <w:p>
      <w:pPr>
        <w:numPr>
          <w:ilvl w:val="0"/>
          <w:numId w:val="1011"/>
        </w:numPr>
      </w:pPr>
      <w:r>
        <w:t xml:space="preserve">Compute 20-day forward returns:</w:t>
      </w:r>
      <w:r>
        <w:t xml:space="preserve"> </w:t>
      </w:r>
      <m:oMath>
        <m:sSub>
          <m:e>
            <m:r>
              <m:t>r</m:t>
            </m:r>
          </m:e>
          <m:sub>
            <m:r>
              <m:t>t</m:t>
            </m:r>
            <m:r>
              <m:rPr>
                <m:sty m:val="p"/>
              </m:rPr>
              <m:t>+</m:t>
            </m:r>
            <m:r>
              <m:t>20</m:t>
            </m:r>
          </m:sub>
        </m:sSub>
        <m:r>
          <m:rPr>
            <m:sty m:val="p"/>
          </m:rPr>
          <m:t>=</m:t>
        </m:r>
        <m:sSub>
          <m:e>
            <m:r>
              <m:t>P</m:t>
            </m:r>
          </m:e>
          <m:sub>
            <m:r>
              <m:t>t</m:t>
            </m:r>
            <m:r>
              <m:rPr>
                <m:sty m:val="p"/>
              </m:rPr>
              <m:t>+</m:t>
            </m:r>
            <m:r>
              <m:t>20</m:t>
            </m:r>
          </m:sub>
        </m:sSub>
        <m:r>
          <m:rPr>
            <m:sty m:val="p"/>
          </m:rPr>
          <m:t>/</m:t>
        </m:r>
        <m:sSub>
          <m:e>
            <m:r>
              <m:t>P</m:t>
            </m:r>
          </m:e>
          <m:sub>
            <m:r>
              <m:t>t</m:t>
            </m:r>
          </m:sub>
        </m:sSub>
        <m:r>
          <m:rPr>
            <m:sty m:val="p"/>
          </m:rPr>
          <m:t>−</m:t>
        </m:r>
        <m:r>
          <m:t>1</m:t>
        </m:r>
      </m:oMath>
    </w:p>
    <w:p>
      <w:pPr>
        <w:numPr>
          <w:ilvl w:val="0"/>
          <w:numId w:val="1011"/>
        </w:numPr>
      </w:pPr>
      <w:r>
        <w:t xml:space="preserve">Calculate Spearman rank correlation between factor and forward returns</w:t>
      </w:r>
    </w:p>
    <w:p>
      <w:pPr>
        <w:numPr>
          <w:ilvl w:val="0"/>
          <w:numId w:val="1011"/>
        </w:numPr>
      </w:pPr>
      <w:r>
        <w:t xml:space="preserve">Result: IC time series</w:t>
      </w:r>
      <w:r>
        <w:t xml:space="preserve"> </w:t>
      </w:r>
      <m:oMath>
        <m:r>
          <m:rPr>
            <m:sty m:val="p"/>
          </m:rPr>
          <m:t>{</m:t>
        </m:r>
        <m:r>
          <m:t>I</m:t>
        </m:r>
        <m:sSub>
          <m:e>
            <m:r>
              <m:t>C</m:t>
            </m:r>
          </m:e>
          <m:sub>
            <m:r>
              <m:t>t</m:t>
            </m:r>
          </m:sub>
        </m:sSub>
        <m:r>
          <m:rPr>
            <m:sty m:val="p"/>
          </m:rPr>
          <m:t>}</m:t>
        </m:r>
      </m:oMath>
      <w:r>
        <w:t xml:space="preserve"> </w:t>
      </w:r>
      <w:r>
        <w:t xml:space="preserve">for each factor</w:t>
      </w:r>
    </w:p>
    <w:bookmarkEnd w:id="42"/>
    <w:bookmarkStart w:id="43" w:name="ic-based-weighting"/>
    <w:p>
      <w:pPr>
        <w:pStyle w:val="Heading2"/>
      </w:pPr>
      <w:r>
        <w:t xml:space="preserve">IC-Based Weighting</w:t>
      </w:r>
    </w:p>
    <w:p>
      <w:pPr>
        <w:pStyle w:val="FirstParagraph"/>
      </w:pPr>
      <w:r>
        <w:t xml:space="preserve">Factor weights computed from rolling IC statistics:</w:t>
      </w:r>
    </w:p>
    <w:p>
      <w:pPr>
        <w:pStyle w:val="BodyText"/>
      </w:pPr>
      <m:oMathPara>
        <m:oMathParaPr>
          <m:jc m:val="center"/>
        </m:oMathParaPr>
        <m:oMath>
          <m:sSub>
            <m:e>
              <m:r>
                <m:t>w</m:t>
              </m:r>
            </m:e>
            <m:sub>
              <m:r>
                <m:t>f</m:t>
              </m:r>
            </m:sub>
          </m:sSub>
          <m:r>
            <m:rPr>
              <m:sty m:val="p"/>
            </m:rPr>
            <m:t>=</m:t>
          </m:r>
          <m:f>
            <m:fPr>
              <m:type m:val="bar"/>
            </m:fPr>
            <m:num>
              <m:r>
                <m:rPr>
                  <m:sty m:val="p"/>
                </m:rPr>
                <m:t>max</m:t>
              </m:r>
              <m:r>
                <m:rPr>
                  <m:sty m:val="p"/>
                </m:rPr>
                <m:t>(</m:t>
              </m:r>
              <m:r>
                <m:t>0</m:t>
              </m:r>
              <m:r>
                <m:rPr>
                  <m:sty m:val="p"/>
                </m:rPr>
                <m:t>,</m:t>
              </m:r>
              <m:r>
                <m:t>I</m:t>
              </m:r>
              <m:r>
                <m:t>C</m:t>
              </m:r>
              <m:r>
                <m:t>I</m:t>
              </m:r>
              <m:sSub>
                <m:e>
                  <m:r>
                    <m:t>R</m:t>
                  </m:r>
                </m:e>
                <m:sub>
                  <m:r>
                    <m:t>f</m:t>
                  </m:r>
                </m:sub>
              </m:sSub>
              <m:r>
                <m:rPr>
                  <m:sty m:val="p"/>
                </m:rPr>
                <m:t>)</m:t>
              </m:r>
            </m:num>
            <m:den>
              <m:nary>
                <m:naryPr>
                  <m:chr m:val="∑"/>
                  <m:limLoc m:val="undOvr"/>
                  <m:subHide m:val="off"/>
                  <m:supHide m:val="on"/>
                </m:naryPr>
                <m:sub>
                  <m:sSup>
                    <m:e>
                      <m:r>
                        <m:t>f</m:t>
                      </m:r>
                    </m:e>
                    <m:sup>
                      <m:r>
                        <m:rPr>
                          <m:sty m:val="p"/>
                        </m:rPr>
                        <m:t>′</m:t>
                      </m:r>
                    </m:sup>
                  </m:sSup>
                </m:sub>
                <m:sup>
                  <m:r>
                    <m:t>​</m:t>
                  </m:r>
                </m:sup>
                <m:e>
                  <m:r>
                    <m:rPr>
                      <m:sty m:val="p"/>
                    </m:rPr>
                    <m:t>max</m:t>
                  </m:r>
                </m:e>
              </m:nary>
              <m:r>
                <m:rPr>
                  <m:sty m:val="p"/>
                </m:rPr>
                <m:t>(</m:t>
              </m:r>
              <m:r>
                <m:t>0</m:t>
              </m:r>
              <m:r>
                <m:rPr>
                  <m:sty m:val="p"/>
                </m:rPr>
                <m:t>,</m:t>
              </m:r>
              <m:r>
                <m:t>I</m:t>
              </m:r>
              <m:r>
                <m:t>C</m:t>
              </m:r>
              <m:r>
                <m:t>I</m:t>
              </m:r>
              <m:sSub>
                <m:e>
                  <m:r>
                    <m:t>R</m:t>
                  </m:r>
                </m:e>
                <m:sub>
                  <m:sSup>
                    <m:e>
                      <m:r>
                        <m:t>f</m:t>
                      </m:r>
                    </m:e>
                    <m:sup>
                      <m:r>
                        <m:rPr>
                          <m:sty m:val="p"/>
                        </m:rPr>
                        <m:t>′</m:t>
                      </m:r>
                    </m:sup>
                  </m:sSup>
                </m:sub>
              </m:sSub>
              <m:r>
                <m:rPr>
                  <m:sty m:val="p"/>
                </m:rPr>
                <m:t>)</m:t>
              </m:r>
            </m:den>
          </m:f>
        </m:oMath>
      </m:oMathPara>
    </w:p>
    <w:p>
      <w:pPr>
        <w:pStyle w:val="FirstParagraph"/>
      </w:pPr>
      <w:r>
        <w:t xml:space="preserve">where</w:t>
      </w:r>
      <w:r>
        <w:t xml:space="preserve"> </w:t>
      </w:r>
      <m:oMath>
        <m:r>
          <m:t>I</m:t>
        </m:r>
        <m:r>
          <m:t>C</m:t>
        </m:r>
        <m:r>
          <m:t>I</m:t>
        </m:r>
        <m:sSub>
          <m:e>
            <m:r>
              <m:t>R</m:t>
            </m:r>
          </m:e>
          <m:sub>
            <m:r>
              <m:t>f</m:t>
            </m:r>
          </m:sub>
        </m:sSub>
        <m:r>
          <m:rPr>
            <m:sty m:val="p"/>
          </m:rPr>
          <m:t>=</m:t>
        </m:r>
        <m:sSub>
          <m:e>
            <m:acc>
              <m:accPr>
                <m:chr m:val="‾"/>
              </m:accPr>
              <m:e>
                <m:r>
                  <m:t>I</m:t>
                </m:r>
                <m:r>
                  <m:t>C</m:t>
                </m:r>
              </m:e>
            </m:acc>
          </m:e>
          <m:sub>
            <m:r>
              <m:t>f</m:t>
            </m:r>
          </m:sub>
        </m:sSub>
        <m:r>
          <m:rPr>
            <m:sty m:val="p"/>
          </m:rPr>
          <m:t>/</m:t>
        </m:r>
        <m:sSub>
          <m:e>
            <m:r>
              <m:t>σ</m:t>
            </m:r>
          </m:e>
          <m:sub>
            <m:r>
              <m:t>I</m:t>
            </m:r>
            <m:r>
              <m:t>C</m:t>
            </m:r>
            <m:r>
              <m:rPr>
                <m:sty m:val="p"/>
              </m:rPr>
              <m:t>,</m:t>
            </m:r>
            <m:r>
              <m:t>f</m:t>
            </m:r>
          </m:sub>
        </m:sSub>
      </m:oMath>
      <w:r>
        <w:t xml:space="preserve"> </w:t>
      </w:r>
      <w:r>
        <w:t xml:space="preserve">over lookback window (60 days).</w:t>
      </w:r>
    </w:p>
    <w:p>
      <w:pPr>
        <w:pStyle w:val="BodyText"/>
      </w:pPr>
      <w:r>
        <w:rPr>
          <w:b/>
          <w:bCs/>
        </w:rPr>
        <w:t xml:space="preserve">Constraints</w:t>
      </w:r>
      <w:r>
        <w:t xml:space="preserve">:</w:t>
      </w:r>
    </w:p>
    <w:p>
      <w:pPr>
        <w:numPr>
          <w:ilvl w:val="0"/>
          <w:numId w:val="1012"/>
        </w:numPr>
      </w:pPr>
      <w:r>
        <w:t xml:space="preserve">Minimum weight: 0 (exclude negative IC factors)</w:t>
      </w:r>
    </w:p>
    <w:p>
      <w:pPr>
        <w:numPr>
          <w:ilvl w:val="0"/>
          <w:numId w:val="1012"/>
        </w:numPr>
      </w:pPr>
      <w:r>
        <w:t xml:space="preserve">Maximum weight: 0.25 (prevent over-concentration)</w:t>
      </w:r>
    </w:p>
    <w:p>
      <w:pPr>
        <w:numPr>
          <w:ilvl w:val="0"/>
          <w:numId w:val="1012"/>
        </w:numPr>
      </w:pPr>
      <w:r>
        <w:t xml:space="preserve">Rebalancing: Monthly (every 20 trading days)</w:t>
      </w:r>
    </w:p>
    <w:bookmarkEnd w:id="43"/>
    <w:bookmarkStart w:id="44" w:name="portfolio-construction-1"/>
    <w:p>
      <w:pPr>
        <w:pStyle w:val="Heading2"/>
      </w:pPr>
      <w:r>
        <w:t xml:space="preserve">Portfolio Construction</w:t>
      </w:r>
    </w:p>
    <w:p>
      <w:pPr>
        <w:numPr>
          <w:ilvl w:val="0"/>
          <w:numId w:val="1013"/>
        </w:numPr>
      </w:pPr>
      <w:r>
        <w:t xml:space="preserve">Compute composite score:</w:t>
      </w:r>
      <w:r>
        <w:t xml:space="preserve"> </w:t>
      </w:r>
      <m:oMath>
        <m:sSub>
          <m:e>
            <m:r>
              <m:t>S</m:t>
            </m:r>
          </m:e>
          <m:sub>
            <m:r>
              <m:t>i</m:t>
            </m:r>
          </m:sub>
        </m:sSub>
        <m:r>
          <m:rPr>
            <m:sty m:val="p"/>
          </m:rPr>
          <m:t>=</m:t>
        </m:r>
        <m:nary>
          <m:naryPr>
            <m:chr m:val="∑"/>
            <m:limLoc m:val="undOvr"/>
            <m:subHide m:val="off"/>
            <m:supHide m:val="on"/>
          </m:naryPr>
          <m:sub>
            <m:r>
              <m:t>f</m:t>
            </m:r>
          </m:sub>
          <m:sup>
            <m:r>
              <m:t>​</m:t>
            </m:r>
          </m:sup>
          <m:e>
            <m:sSub>
              <m:e>
                <m:r>
                  <m:t>w</m:t>
                </m:r>
              </m:e>
              <m:sub>
                <m:r>
                  <m:t>f</m:t>
                </m:r>
              </m:sub>
            </m:sSub>
          </m:e>
        </m:nary>
        <m:r>
          <m:rPr>
            <m:sty m:val="p"/>
          </m:rPr>
          <m:t>×</m:t>
        </m:r>
        <m:sSub>
          <m:e>
            <m:r>
              <m:t>F</m:t>
            </m:r>
          </m:e>
          <m:sub>
            <m:r>
              <m:t>i</m:t>
            </m:r>
            <m:r>
              <m:rPr>
                <m:sty m:val="p"/>
              </m:rPr>
              <m:t>,</m:t>
            </m:r>
            <m:r>
              <m:t>f</m:t>
            </m:r>
          </m:sub>
        </m:sSub>
      </m:oMath>
    </w:p>
    <w:p>
      <w:pPr>
        <w:numPr>
          <w:ilvl w:val="0"/>
          <w:numId w:val="1013"/>
        </w:numPr>
      </w:pPr>
      <w:r>
        <w:t xml:space="preserve">Rank stocks by composite score</w:t>
      </w:r>
    </w:p>
    <w:p>
      <w:pPr>
        <w:numPr>
          <w:ilvl w:val="0"/>
          <w:numId w:val="1013"/>
        </w:numPr>
      </w:pPr>
      <w:r>
        <w:t xml:space="preserve">Select top 20 stocks (long-only)</w:t>
      </w:r>
    </w:p>
    <w:p>
      <w:pPr>
        <w:numPr>
          <w:ilvl w:val="0"/>
          <w:numId w:val="1013"/>
        </w:numPr>
      </w:pPr>
      <w:r>
        <w:t xml:space="preserve">Equal-weight within portfolio</w:t>
      </w:r>
    </w:p>
    <w:bookmarkEnd w:id="44"/>
    <w:bookmarkStart w:id="45" w:name="risk-control"/>
    <w:p>
      <w:pPr>
        <w:pStyle w:val="Heading2"/>
      </w:pPr>
      <w:r>
        <w:t xml:space="preserve">Risk Control</w:t>
      </w:r>
    </w:p>
    <w:p>
      <w:pPr>
        <w:pStyle w:val="FirstParagraph"/>
      </w:pPr>
      <w:r>
        <w:rPr>
          <w:b/>
          <w:bCs/>
        </w:rPr>
        <w:t xml:space="preserve">Three-layer protection</w:t>
      </w:r>
      <w:r>
        <w:t xml:space="preserve">:</w:t>
      </w:r>
    </w:p>
    <w:p>
      <w:pPr>
        <w:numPr>
          <w:ilvl w:val="0"/>
          <w:numId w:val="1014"/>
        </w:numPr>
      </w:pPr>
      <w:r>
        <w:rPr>
          <w:b/>
          <w:bCs/>
        </w:rPr>
        <w:t xml:space="preserve">Maximum Drawdown Limit</w:t>
      </w:r>
      <w:r>
        <w:t xml:space="preserve">: Reduce position 50% if drawdown &gt; 25%</w:t>
      </w:r>
    </w:p>
    <w:p>
      <w:pPr>
        <w:numPr>
          <w:ilvl w:val="0"/>
          <w:numId w:val="1014"/>
        </w:numPr>
      </w:pPr>
      <w:r>
        <w:rPr>
          <w:b/>
          <w:bCs/>
        </w:rPr>
        <w:t xml:space="preserve">Volatility Target</w:t>
      </w:r>
      <w:r>
        <w:t xml:space="preserve">: Scale positions to target 15% annual volatility</w:t>
      </w:r>
    </w:p>
    <w:p>
      <w:pPr>
        <w:numPr>
          <w:ilvl w:val="0"/>
          <w:numId w:val="1014"/>
        </w:numPr>
      </w:pPr>
      <w:r>
        <w:rPr>
          <w:b/>
          <w:bCs/>
        </w:rPr>
        <w:t xml:space="preserve">Stop Loss</w:t>
      </w:r>
      <w:r>
        <w:t xml:space="preserve">: Liquidate 50% if single-day loss &gt; 5%</w:t>
      </w:r>
    </w:p>
    <w:bookmarkEnd w:id="45"/>
    <w:bookmarkStart w:id="46" w:name="transaction-costs"/>
    <w:p>
      <w:pPr>
        <w:pStyle w:val="Heading2"/>
      </w:pPr>
      <w:r>
        <w:t xml:space="preserve">Transaction Costs</w:t>
      </w:r>
    </w:p>
    <w:p>
      <w:pPr>
        <w:pStyle w:val="FirstParagraph"/>
      </w:pPr>
      <w:r>
        <w:t xml:space="preserve">Realistic costs for Chinese A-share market:</w:t>
      </w:r>
    </w:p>
    <w:p>
      <w:pPr>
        <w:pStyle w:val="TableCaption"/>
      </w:pPr>
      <w:r>
        <w:t xml:space="preserve">Transaction Cost Breakdown</w:t>
      </w:r>
    </w:p>
    <w:tbl>
      <w:tblPr>
        <w:tblStyle w:val="Table"/>
        <w:tblW w:type="auto" w:w="0"/>
        <w:tblLook w:firstRow="1" w:lastRow="0" w:firstColumn="0" w:lastColumn="0" w:noHBand="0" w:noVBand="0" w:val="0020"/>
        <w:tblCaption w:val="Transaction Cost Breakdown"/>
      </w:tblPr>
      <w:tblGrid>
        <w:gridCol w:w="3960"/>
        <w:gridCol w:w="3960"/>
      </w:tblGrid>
      <w:tr>
        <w:trPr>
          <w:tblHeader w:val="on"/>
        </w:trPr>
        <w:tc>
          <w:tcPr/>
          <w:p>
            <w:pPr>
              <w:pStyle w:val="Compact"/>
              <w:jc w:val="left"/>
            </w:pPr>
            <w:r>
              <w:t xml:space="preserve">Component</w:t>
            </w:r>
          </w:p>
        </w:tc>
        <w:tc>
          <w:tcPr/>
          <w:p>
            <w:pPr>
              <w:pStyle w:val="Compact"/>
              <w:jc w:val="center"/>
            </w:pPr>
            <w:r>
              <w:t xml:space="preserve">Cost</w:t>
            </w:r>
          </w:p>
        </w:tc>
      </w:tr>
      <w:tr>
        <w:tc>
          <w:tcPr/>
          <w:p>
            <w:pPr>
              <w:pStyle w:val="Compact"/>
              <w:jc w:val="left"/>
            </w:pPr>
            <w:r>
              <w:t xml:space="preserve">Commission</w:t>
            </w:r>
          </w:p>
        </w:tc>
        <w:tc>
          <w:tcPr/>
          <w:p>
            <w:pPr>
              <w:pStyle w:val="Compact"/>
              <w:jc w:val="center"/>
            </w:pPr>
            <w:r>
              <w:t xml:space="preserve">0.03% (both sides)</w:t>
            </w:r>
          </w:p>
        </w:tc>
      </w:tr>
      <w:tr>
        <w:tc>
          <w:tcPr/>
          <w:p>
            <w:pPr>
              <w:pStyle w:val="Compact"/>
              <w:jc w:val="left"/>
            </w:pPr>
            <w:r>
              <w:t xml:space="preserve">Stamp Duty</w:t>
            </w:r>
          </w:p>
        </w:tc>
        <w:tc>
          <w:tcPr/>
          <w:p>
            <w:pPr>
              <w:pStyle w:val="Compact"/>
              <w:jc w:val="center"/>
            </w:pPr>
            <w:r>
              <w:t xml:space="preserve">0.10% (sell only)</w:t>
            </w:r>
          </w:p>
        </w:tc>
      </w:tr>
      <w:tr>
        <w:tc>
          <w:tcPr/>
          <w:p>
            <w:pPr>
              <w:pStyle w:val="Compact"/>
              <w:jc w:val="left"/>
            </w:pPr>
            <w:r>
              <w:t xml:space="preserve">Slippage</w:t>
            </w:r>
          </w:p>
        </w:tc>
        <w:tc>
          <w:tcPr/>
          <w:p>
            <w:pPr>
              <w:pStyle w:val="Compact"/>
              <w:jc w:val="center"/>
            </w:pPr>
            <w:r>
              <w:t xml:space="preserve">0.05% (estimated)</w:t>
            </w:r>
          </w:p>
        </w:tc>
      </w:tr>
      <w:tr>
        <w:tc>
          <w:tcPr/>
          <w:p>
            <w:pPr>
              <w:pStyle w:val="Compact"/>
              <w:jc w:val="left"/>
            </w:pPr>
            <w:r>
              <w:t xml:space="preserve">Round-Trip Total</w:t>
            </w:r>
          </w:p>
        </w:tc>
        <w:tc>
          <w:tcPr/>
          <w:p>
            <w:pPr>
              <w:pStyle w:val="Compact"/>
              <w:jc w:val="center"/>
            </w:pPr>
            <w:r>
              <w:t xml:space="preserve">0.15%</w:t>
            </w:r>
          </w:p>
        </w:tc>
      </w:tr>
    </w:tbl>
    <w:p>
      <w:pPr>
        <w:pStyle w:val="BodyText"/>
      </w:pPr>
      <w:r>
        <w:t xml:space="preserve">Monthly rebalancing results in approximately 1.8% annual cost drag.</w:t>
      </w:r>
    </w:p>
    <w:bookmarkEnd w:id="46"/>
    <w:bookmarkStart w:id="47" w:name="walk-forward-protocol"/>
    <w:p>
      <w:pPr>
        <w:pStyle w:val="Heading2"/>
      </w:pPr>
      <w:r>
        <w:t xml:space="preserve">Walk-Forward Protocol</w:t>
      </w:r>
    </w:p>
    <w:p>
      <w:pPr>
        <w:numPr>
          <w:ilvl w:val="0"/>
          <w:numId w:val="1015"/>
        </w:numPr>
      </w:pPr>
      <w:r>
        <w:rPr>
          <w:b/>
          <w:bCs/>
        </w:rPr>
        <w:t xml:space="preserve">Training Window</w:t>
      </w:r>
      <w:r>
        <w:t xml:space="preserve">: 60 days for IC estimation</w:t>
      </w:r>
    </w:p>
    <w:p>
      <w:pPr>
        <w:numPr>
          <w:ilvl w:val="0"/>
          <w:numId w:val="1015"/>
        </w:numPr>
      </w:pPr>
      <w:r>
        <w:rPr>
          <w:b/>
          <w:bCs/>
        </w:rPr>
        <w:t xml:space="preserve">Rebalancing</w:t>
      </w:r>
      <w:r>
        <w:t xml:space="preserve">: Every 20 days</w:t>
      </w:r>
    </w:p>
    <w:p>
      <w:pPr>
        <w:numPr>
          <w:ilvl w:val="0"/>
          <w:numId w:val="1015"/>
        </w:numPr>
      </w:pPr>
      <w:r>
        <w:rPr>
          <w:b/>
          <w:bCs/>
        </w:rPr>
        <w:t xml:space="preserve">Out-of-Sample</w:t>
      </w:r>
      <w:r>
        <w:t xml:space="preserve">: All returns are forward-looking</w:t>
      </w:r>
    </w:p>
    <w:p>
      <w:pPr>
        <w:numPr>
          <w:ilvl w:val="0"/>
          <w:numId w:val="1015"/>
        </w:numPr>
      </w:pPr>
      <w:r>
        <w:rPr>
          <w:b/>
          <w:bCs/>
        </w:rPr>
        <w:t xml:space="preserve">No Look-Ahead</w:t>
      </w:r>
      <w:r>
        <w:t xml:space="preserve">: Factor weights determined before holding period</w:t>
      </w:r>
    </w:p>
    <w:bookmarkEnd w:id="47"/>
    <w:bookmarkStart w:id="49" w:name="market-regime-definition"/>
    <w:p>
      <w:pPr>
        <w:pStyle w:val="Heading2"/>
      </w:pPr>
      <w:r>
        <w:t xml:space="preserve">Market Regime Definition</w:t>
      </w:r>
    </w:p>
    <w:p>
      <w:pPr>
        <w:pStyle w:val="FirstParagraph"/>
      </w:pPr>
      <w:r>
        <w:t xml:space="preserve">We quantitatively define market regimes using CSI 300 index returns:</w:t>
      </w:r>
    </w:p>
    <w:p>
      <w:pPr>
        <w:pStyle w:val="BodyText"/>
      </w:pPr>
      <w:r>
        <w:rPr>
          <w:b/>
          <w:bCs/>
        </w:rPr>
        <w:t xml:space="preserve">Regime Classification Rules</w:t>
      </w:r>
      <w:r>
        <w:t xml:space="preserve">:</w:t>
      </w:r>
    </w:p>
    <w:p>
      <w:pPr>
        <w:numPr>
          <w:ilvl w:val="0"/>
          <w:numId w:val="1016"/>
        </w:numPr>
      </w:pPr>
      <w:r>
        <w:rPr>
          <w:b/>
          <w:bCs/>
        </w:rPr>
        <w:t xml:space="preserve">Bull Market</w:t>
      </w:r>
      <w:r>
        <w:t xml:space="preserve">: CSI 300 60-day cumulative return</w:t>
      </w:r>
      <w:r>
        <w:t xml:space="preserve"> </w:t>
      </w:r>
      <m:oMath>
        <m:r>
          <m:rPr>
            <m:sty m:val="p"/>
          </m:rPr>
          <m:t>&gt;</m:t>
        </m:r>
        <m:r>
          <m:rPr>
            <m:sty m:val="p"/>
          </m:rPr>
          <m:t>+</m:t>
        </m:r>
        <m:r>
          <m:t>15</m:t>
        </m:r>
        <m:r>
          <m:rPr>
            <m:sty m:val="p"/>
          </m:rPr>
          <m:t>%</m:t>
        </m:r>
      </m:oMath>
    </w:p>
    <w:p>
      <w:pPr>
        <w:numPr>
          <w:ilvl w:val="0"/>
          <w:numId w:val="1016"/>
        </w:numPr>
      </w:pPr>
      <w:r>
        <w:rPr>
          <w:b/>
          <w:bCs/>
        </w:rPr>
        <w:t xml:space="preserve">Bear Market</w:t>
      </w:r>
      <w:r>
        <w:t xml:space="preserve">: CSI 300 60-day cumulative return</w:t>
      </w:r>
      <w:r>
        <w:t xml:space="preserve"> </w:t>
      </w:r>
      <m:oMath>
        <m:r>
          <m:rPr>
            <m:sty m:val="p"/>
          </m:rPr>
          <m:t>&lt;</m:t>
        </m:r>
        <m:r>
          <m:rPr>
            <m:sty m:val="p"/>
          </m:rPr>
          <m:t>−</m:t>
        </m:r>
        <m:r>
          <m:t>15</m:t>
        </m:r>
        <m:r>
          <m:rPr>
            <m:sty m:val="p"/>
          </m:rPr>
          <m:t>%</m:t>
        </m:r>
      </m:oMath>
    </w:p>
    <w:p>
      <w:pPr>
        <w:numPr>
          <w:ilvl w:val="0"/>
          <w:numId w:val="1016"/>
        </w:numPr>
      </w:pPr>
      <w:r>
        <w:rPr>
          <w:b/>
          <w:bCs/>
        </w:rPr>
        <w:t xml:space="preserve">Oscillation</w:t>
      </w:r>
      <w:r>
        <w:t xml:space="preserve">: 60-day return between</w:t>
      </w:r>
      <w:r>
        <w:t xml:space="preserve"> </w:t>
      </w:r>
      <m:oMath>
        <m:r>
          <m:rPr>
            <m:sty m:val="p"/>
          </m:rPr>
          <m:t>−</m:t>
        </m:r>
        <m:r>
          <m:t>15</m:t>
        </m:r>
        <m:r>
          <m:rPr>
            <m:sty m:val="p"/>
          </m:rPr>
          <m:t>%</m:t>
        </m:r>
      </m:oMath>
      <w:r>
        <w:t xml:space="preserve"> </w:t>
      </w:r>
      <w:r>
        <w:t xml:space="preserve">and</w:t>
      </w:r>
      <w:r>
        <w:t xml:space="preserve"> </w:t>
      </w:r>
      <m:oMath>
        <m:r>
          <m:rPr>
            <m:sty m:val="p"/>
          </m:rPr>
          <m:t>+</m:t>
        </m:r>
        <m:r>
          <m:t>15</m:t>
        </m:r>
        <m:r>
          <m:rPr>
            <m:sty m:val="p"/>
          </m:rPr>
          <m:t>%</m:t>
        </m:r>
      </m:oMath>
    </w:p>
    <w:p>
      <w:pPr>
        <w:pStyle w:val="FirstParagraph"/>
      </w:pPr>
      <w:r>
        <w:rPr>
          <w:b/>
          <w:bCs/>
        </w:rPr>
        <w:t xml:space="preserve">Threshold Justification</w:t>
      </w:r>
      <w:r>
        <w:t xml:space="preserve">: The</w:t>
      </w:r>
      <w:r>
        <w:t xml:space="preserve"> </w:t>
      </w:r>
      <m:oMath>
        <m:r>
          <m:rPr>
            <m:sty m:val="p"/>
          </m:rPr>
          <m:t>±</m:t>
        </m:r>
        <m:r>
          <m:t>15</m:t>
        </m:r>
        <m:r>
          <m:rPr>
            <m:sty m:val="p"/>
          </m:rPr>
          <m:t>%</m:t>
        </m:r>
      </m:oMath>
      <w:r>
        <w:t xml:space="preserve"> </w:t>
      </w:r>
      <w:r>
        <w:t xml:space="preserve">thresholds correspond to approximately 1.5 standard deviations of 60-day returns in CSI 300 historical data, capturing significant market moves while filtering noise.</w:t>
      </w:r>
    </w:p>
    <w:p>
      <w:pPr>
        <w:pStyle w:val="BodyText"/>
      </w:pPr>
      <w:r>
        <w:t xml:space="preserve">Table </w:t>
      </w:r>
      <w:hyperlink w:anchor="tab:regime_periods">
        <w:r>
          <w:rPr>
            <w:rStyle w:val="Hyperlink"/>
          </w:rPr>
          <w:t xml:space="preserve">4</w:t>
        </w:r>
      </w:hyperlink>
      <w:r>
        <w:t xml:space="preserve"> </w:t>
      </w:r>
      <w:r>
        <w:t xml:space="preserve">shows the resulting regime classification for our sample period.</w:t>
      </w:r>
    </w:p>
    <w:bookmarkStart w:id="48" w:name="tab:regime_periods"/>
    <w:p>
      <w:pPr>
        <w:pStyle w:val="TableCaption"/>
      </w:pPr>
      <w:r>
        <w:t xml:space="preserve">Market Regime Classification (2020-2024)</w:t>
      </w:r>
    </w:p>
    <w:tbl>
      <w:tblPr>
        <w:tblStyle w:val="Table"/>
        <w:tblW w:type="auto" w:w="0"/>
        <w:tblLook w:firstRow="1" w:lastRow="0" w:firstColumn="0" w:lastColumn="0" w:noHBand="0" w:noVBand="0" w:val="0020"/>
        <w:tblCaption w:val="Market Regime Classification (2020-2024)"/>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Regime</w:t>
            </w:r>
          </w:p>
        </w:tc>
        <w:tc>
          <w:tcPr/>
          <w:p>
            <w:pPr>
              <w:pStyle w:val="Compact"/>
              <w:jc w:val="center"/>
            </w:pPr>
            <w:r>
              <w:t xml:space="preserve">60-Day Return</w:t>
            </w:r>
          </w:p>
        </w:tc>
        <w:tc>
          <w:tcPr/>
          <w:p>
            <w:pPr>
              <w:pStyle w:val="Compact"/>
              <w:jc w:val="center"/>
            </w:pPr>
            <w:r>
              <w:t xml:space="preserve">Duration</w:t>
            </w:r>
          </w:p>
        </w:tc>
      </w:tr>
      <w:tr>
        <w:tc>
          <w:tcPr/>
          <w:p>
            <w:pPr>
              <w:pStyle w:val="Compact"/>
              <w:jc w:val="left"/>
            </w:pPr>
            <w:r>
              <w:t xml:space="preserve">2020 Q1-Q2</w:t>
            </w:r>
          </w:p>
        </w:tc>
        <w:tc>
          <w:tcPr/>
          <w:p>
            <w:pPr>
              <w:pStyle w:val="Compact"/>
              <w:jc w:val="left"/>
            </w:pPr>
            <w:r>
              <w:t xml:space="preserve">Bull</w:t>
            </w:r>
          </w:p>
        </w:tc>
        <w:tc>
          <w:tcPr/>
          <w:p>
            <w:pPr>
              <w:pStyle w:val="Compact"/>
              <w:jc w:val="center"/>
            </w:pPr>
            <w:r>
              <w:t xml:space="preserve">+27% (COVID recovery)</w:t>
            </w:r>
          </w:p>
        </w:tc>
        <w:tc>
          <w:tcPr/>
          <w:p>
            <w:pPr>
              <w:pStyle w:val="Compact"/>
              <w:jc w:val="center"/>
            </w:pPr>
            <w:r>
              <w:t xml:space="preserve">6 months</w:t>
            </w:r>
          </w:p>
        </w:tc>
      </w:tr>
      <w:tr>
        <w:tc>
          <w:tcPr/>
          <w:p>
            <w:pPr>
              <w:pStyle w:val="Compact"/>
              <w:jc w:val="left"/>
            </w:pPr>
            <w:r>
              <w:t xml:space="preserve">2020 Q3-Q4</w:t>
            </w:r>
          </w:p>
        </w:tc>
        <w:tc>
          <w:tcPr/>
          <w:p>
            <w:pPr>
              <w:pStyle w:val="Compact"/>
              <w:jc w:val="left"/>
            </w:pPr>
            <w:r>
              <w:t xml:space="preserve">Oscillation</w:t>
            </w:r>
          </w:p>
        </w:tc>
        <w:tc>
          <w:tcPr/>
          <w:p>
            <w:pPr>
              <w:pStyle w:val="Compact"/>
              <w:jc w:val="center"/>
            </w:pPr>
            <w:r>
              <w:t xml:space="preserve">+5%</w:t>
            </w:r>
          </w:p>
        </w:tc>
        <w:tc>
          <w:tcPr/>
          <w:p>
            <w:pPr>
              <w:pStyle w:val="Compact"/>
              <w:jc w:val="center"/>
            </w:pPr>
            <w:r>
              <w:t xml:space="preserve">6 months</w:t>
            </w:r>
          </w:p>
        </w:tc>
      </w:tr>
      <w:tr>
        <w:tc>
          <w:tcPr/>
          <w:p>
            <w:pPr>
              <w:pStyle w:val="Compact"/>
              <w:jc w:val="left"/>
            </w:pPr>
            <w:r>
              <w:t xml:space="preserve">2021 Q1-Q2</w:t>
            </w:r>
          </w:p>
        </w:tc>
        <w:tc>
          <w:tcPr/>
          <w:p>
            <w:pPr>
              <w:pStyle w:val="Compact"/>
              <w:jc w:val="left"/>
            </w:pPr>
            <w:r>
              <w:t xml:space="preserve">Bull</w:t>
            </w:r>
          </w:p>
        </w:tc>
        <w:tc>
          <w:tcPr/>
          <w:p>
            <w:pPr>
              <w:pStyle w:val="Compact"/>
              <w:jc w:val="center"/>
            </w:pPr>
            <w:r>
              <w:t xml:space="preserve">+18% (structural rally)</w:t>
            </w:r>
          </w:p>
        </w:tc>
        <w:tc>
          <w:tcPr/>
          <w:p>
            <w:pPr>
              <w:pStyle w:val="Compact"/>
              <w:jc w:val="center"/>
            </w:pPr>
            <w:r>
              <w:t xml:space="preserve">6 months</w:t>
            </w:r>
          </w:p>
        </w:tc>
      </w:tr>
      <w:tr>
        <w:tc>
          <w:tcPr/>
          <w:p>
            <w:pPr>
              <w:pStyle w:val="Compact"/>
              <w:jc w:val="left"/>
            </w:pPr>
            <w:r>
              <w:t xml:space="preserve">2021 Q3-Q4</w:t>
            </w:r>
          </w:p>
        </w:tc>
        <w:tc>
          <w:tcPr/>
          <w:p>
            <w:pPr>
              <w:pStyle w:val="Compact"/>
              <w:jc w:val="left"/>
            </w:pPr>
            <w:r>
              <w:t xml:space="preserve">Oscillation</w:t>
            </w:r>
          </w:p>
        </w:tc>
        <w:tc>
          <w:tcPr/>
          <w:p>
            <w:pPr>
              <w:pStyle w:val="Compact"/>
              <w:jc w:val="center"/>
            </w:pPr>
            <w:r>
              <w:t xml:space="preserve">-3%</w:t>
            </w:r>
          </w:p>
        </w:tc>
        <w:tc>
          <w:tcPr/>
          <w:p>
            <w:pPr>
              <w:pStyle w:val="Compact"/>
              <w:jc w:val="center"/>
            </w:pPr>
            <w:r>
              <w:t xml:space="preserve">6 months</w:t>
            </w:r>
          </w:p>
        </w:tc>
      </w:tr>
      <w:tr>
        <w:tc>
          <w:tcPr/>
          <w:p>
            <w:pPr>
              <w:pStyle w:val="Compact"/>
              <w:jc w:val="left"/>
            </w:pPr>
            <w:r>
              <w:t xml:space="preserve">2022 Q1-Q3</w:t>
            </w:r>
          </w:p>
        </w:tc>
        <w:tc>
          <w:tcPr/>
          <w:p>
            <w:pPr>
              <w:pStyle w:val="Compact"/>
              <w:jc w:val="left"/>
            </w:pPr>
            <w:r>
              <w:t xml:space="preserve">Bear</w:t>
            </w:r>
          </w:p>
        </w:tc>
        <w:tc>
          <w:tcPr/>
          <w:p>
            <w:pPr>
              <w:pStyle w:val="Compact"/>
              <w:jc w:val="center"/>
            </w:pPr>
            <w:r>
              <w:t xml:space="preserve">-21% (correction)</w:t>
            </w:r>
          </w:p>
        </w:tc>
        <w:tc>
          <w:tcPr/>
          <w:p>
            <w:pPr>
              <w:pStyle w:val="Compact"/>
              <w:jc w:val="center"/>
            </w:pPr>
            <w:r>
              <w:t xml:space="preserve">9 months</w:t>
            </w:r>
          </w:p>
        </w:tc>
      </w:tr>
      <w:tr>
        <w:tc>
          <w:tcPr/>
          <w:p>
            <w:pPr>
              <w:pStyle w:val="Compact"/>
              <w:jc w:val="left"/>
            </w:pPr>
            <w:r>
              <w:t xml:space="preserve">2022 Q4-2023 Q4</w:t>
            </w:r>
          </w:p>
        </w:tc>
        <w:tc>
          <w:tcPr/>
          <w:p>
            <w:pPr>
              <w:pStyle w:val="Compact"/>
              <w:jc w:val="left"/>
            </w:pPr>
            <w:r>
              <w:t xml:space="preserve">Oscillation</w:t>
            </w:r>
          </w:p>
        </w:tc>
        <w:tc>
          <w:tcPr/>
          <w:p>
            <w:pPr>
              <w:pStyle w:val="Compact"/>
              <w:jc w:val="center"/>
            </w:pPr>
            <w:r>
              <w:t xml:space="preserve">-8% to +4%</w:t>
            </w:r>
          </w:p>
        </w:tc>
        <w:tc>
          <w:tcPr/>
          <w:p>
            <w:pPr>
              <w:pStyle w:val="Compact"/>
              <w:jc w:val="center"/>
            </w:pPr>
            <w:r>
              <w:t xml:space="preserve">15 months</w:t>
            </w:r>
          </w:p>
        </w:tc>
      </w:tr>
      <w:tr>
        <w:tc>
          <w:tcPr/>
          <w:p>
            <w:pPr>
              <w:pStyle w:val="Compact"/>
              <w:jc w:val="left"/>
            </w:pPr>
            <w:r>
              <w:t xml:space="preserve">2024</w:t>
            </w:r>
          </w:p>
        </w:tc>
        <w:tc>
          <w:tcPr/>
          <w:p>
            <w:pPr>
              <w:pStyle w:val="Compact"/>
              <w:jc w:val="left"/>
            </w:pPr>
            <w:r>
              <w:t xml:space="preserve">Oscillation</w:t>
            </w:r>
          </w:p>
        </w:tc>
        <w:tc>
          <w:tcPr/>
          <w:p>
            <w:pPr>
              <w:pStyle w:val="Compact"/>
              <w:jc w:val="center"/>
            </w:pPr>
            <w:r>
              <w:t xml:space="preserve">+2%</w:t>
            </w:r>
          </w:p>
        </w:tc>
        <w:tc>
          <w:tcPr/>
          <w:p>
            <w:pPr>
              <w:pStyle w:val="Compact"/>
              <w:jc w:val="center"/>
            </w:pPr>
            <w:r>
              <w:t xml:space="preserve">12 months</w:t>
            </w:r>
          </w:p>
        </w:tc>
      </w:tr>
    </w:tbl>
    <w:bookmarkEnd w:id="48"/>
    <w:p>
      <w:pPr>
        <w:pStyle w:val="BodyText"/>
      </w:pPr>
      <w:r>
        <w:rPr>
          <w:b/>
          <w:bCs/>
        </w:rPr>
        <w:t xml:space="preserve">Regime Summary</w:t>
      </w:r>
      <w:r>
        <w:t xml:space="preserve">:</w:t>
      </w:r>
    </w:p>
    <w:p>
      <w:pPr>
        <w:numPr>
          <w:ilvl w:val="0"/>
          <w:numId w:val="1017"/>
        </w:numPr>
      </w:pPr>
      <w:r>
        <w:t xml:space="preserve">Bull periods: 12 months (20% of sample)</w:t>
      </w:r>
    </w:p>
    <w:p>
      <w:pPr>
        <w:numPr>
          <w:ilvl w:val="0"/>
          <w:numId w:val="1017"/>
        </w:numPr>
      </w:pPr>
      <w:r>
        <w:t xml:space="preserve">Bear periods: 9 months (15% of sample)</w:t>
      </w:r>
    </w:p>
    <w:p>
      <w:pPr>
        <w:numPr>
          <w:ilvl w:val="0"/>
          <w:numId w:val="1017"/>
        </w:numPr>
      </w:pPr>
      <w:r>
        <w:t xml:space="preserve">Oscillation: 39 months (65% of sample)</w:t>
      </w:r>
    </w:p>
    <w:bookmarkEnd w:id="49"/>
    <w:bookmarkStart w:id="50" w:name="statistical-testing"/>
    <w:p>
      <w:pPr>
        <w:pStyle w:val="Heading2"/>
      </w:pPr>
      <w:r>
        <w:t xml:space="preserve">Statistical Testing</w:t>
      </w:r>
    </w:p>
    <w:p>
      <w:pPr>
        <w:pStyle w:val="FirstParagraph"/>
      </w:pPr>
      <w:r>
        <w:t xml:space="preserve">We implement Newey-West HAC standard errors:</w:t>
      </w:r>
    </w:p>
    <w:p>
      <w:pPr>
        <w:pStyle w:val="BodyText"/>
      </w:pPr>
      <m:oMathPara>
        <m:oMathParaPr>
          <m:jc m:val="center"/>
        </m:oMathParaPr>
        <m:oMath>
          <m:sSub>
            <m:e>
              <m:r>
                <m:rPr>
                  <m:nor/>
                  <m:sty m:val="p"/>
                </m:rPr>
                <m:t>Var</m:t>
              </m:r>
            </m:e>
            <m:sub>
              <m:r>
                <m:t>N</m:t>
              </m:r>
              <m:r>
                <m:t>W</m:t>
              </m:r>
            </m:sub>
          </m:sSub>
          <m:r>
            <m:rPr>
              <m:sty m:val="p"/>
            </m:rPr>
            <m:t>(</m:t>
          </m:r>
          <m:acc>
            <m:accPr>
              <m:chr m:val="‾"/>
            </m:accPr>
            <m:e>
              <m:r>
                <m:t>r</m:t>
              </m:r>
            </m:e>
          </m:acc>
          <m:r>
            <m:rPr>
              <m:sty m:val="p"/>
            </m:rPr>
            <m:t>)</m:t>
          </m:r>
          <m:r>
            <m:rPr>
              <m:sty m:val="p"/>
            </m:rPr>
            <m:t>=</m:t>
          </m:r>
          <m:sSub>
            <m:e>
              <m:r>
                <m:t>γ</m:t>
              </m:r>
            </m:e>
            <m:sub>
              <m:r>
                <m:t>0</m:t>
              </m:r>
            </m:sub>
          </m:sSub>
          <m:r>
            <m:rPr>
              <m:sty m:val="p"/>
            </m:rPr>
            <m:t>+</m:t>
          </m:r>
          <m:r>
            <m:t>2</m:t>
          </m:r>
          <m:nary>
            <m:naryPr>
              <m:chr m:val="∑"/>
              <m:limLoc m:val="undOvr"/>
              <m:subHide m:val="off"/>
              <m:supHide m:val="off"/>
            </m:naryPr>
            <m:sub>
              <m:r>
                <m:t>j</m:t>
              </m:r>
              <m:r>
                <m:rPr>
                  <m:sty m:val="p"/>
                </m:rPr>
                <m:t>=</m:t>
              </m:r>
              <m:r>
                <m:t>1</m:t>
              </m:r>
            </m:sub>
            <m:sup>
              <m:r>
                <m:t>L</m:t>
              </m:r>
            </m:sup>
            <m:e>
              <m:sSub>
                <m:e>
                  <m:r>
                    <m:t>w</m:t>
                  </m:r>
                </m:e>
                <m:sub>
                  <m:r>
                    <m:t>j</m:t>
                  </m:r>
                </m:sub>
              </m:sSub>
            </m:e>
          </m:nary>
          <m:sSub>
            <m:e>
              <m:r>
                <m:t>γ</m:t>
              </m:r>
            </m:e>
            <m:sub>
              <m:r>
                <m:t>j</m:t>
              </m:r>
            </m:sub>
          </m:sSub>
        </m:oMath>
      </m:oMathPara>
    </w:p>
    <w:p>
      <w:pPr>
        <w:pStyle w:val="FirstParagraph"/>
      </w:pPr>
      <w:r>
        <w:t xml:space="preserve">where:</w:t>
      </w:r>
    </w:p>
    <w:p>
      <w:pPr>
        <w:numPr>
          <w:ilvl w:val="0"/>
          <w:numId w:val="1018"/>
        </w:numPr>
      </w:pPr>
      <m:oMath>
        <m:sSub>
          <m:e>
            <m:r>
              <m:t>γ</m:t>
            </m:r>
          </m:e>
          <m:sub>
            <m:r>
              <m:t>j</m:t>
            </m:r>
          </m:sub>
        </m:sSub>
      </m:oMath>
      <w:r>
        <w:t xml:space="preserve"> </w:t>
      </w:r>
      <w:r>
        <w:t xml:space="preserve">= autocovariance at lag</w:t>
      </w:r>
      <w:r>
        <w:t xml:space="preserve"> </w:t>
      </w:r>
      <m:oMath>
        <m:r>
          <m:t>j</m:t>
        </m:r>
      </m:oMath>
    </w:p>
    <w:p>
      <w:pPr>
        <w:numPr>
          <w:ilvl w:val="0"/>
          <w:numId w:val="1018"/>
        </w:numPr>
      </w:pPr>
      <m:oMath>
        <m:sSub>
          <m:e>
            <m:r>
              <m:t>w</m:t>
            </m:r>
          </m:e>
          <m:sub>
            <m:r>
              <m:t>j</m:t>
            </m:r>
          </m:sub>
        </m:sSub>
        <m:r>
          <m:rPr>
            <m:sty m:val="p"/>
          </m:rPr>
          <m:t>=</m:t>
        </m:r>
        <m:r>
          <m:t>1</m:t>
        </m:r>
        <m:r>
          <m:rPr>
            <m:sty m:val="p"/>
          </m:rPr>
          <m:t>−</m:t>
        </m:r>
        <m:r>
          <m:t>j</m:t>
        </m:r>
        <m:r>
          <m:rPr>
            <m:sty m:val="p"/>
          </m:rPr>
          <m:t>/</m:t>
        </m:r>
        <m:r>
          <m:rPr>
            <m:sty m:val="p"/>
          </m:rPr>
          <m:t>(</m:t>
        </m:r>
        <m:r>
          <m:t>L</m:t>
        </m:r>
        <m:r>
          <m:rPr>
            <m:sty m:val="p"/>
          </m:rPr>
          <m:t>+</m:t>
        </m:r>
        <m:r>
          <m:t>1</m:t>
        </m:r>
        <m:r>
          <m:rPr>
            <m:sty m:val="p"/>
          </m:rPr>
          <m:t>)</m:t>
        </m:r>
      </m:oMath>
      <w:r>
        <w:t xml:space="preserve"> </w:t>
      </w:r>
      <w:r>
        <w:t xml:space="preserve">= Bartlett kernel weight</w:t>
      </w:r>
    </w:p>
    <w:p>
      <w:pPr>
        <w:numPr>
          <w:ilvl w:val="0"/>
          <w:numId w:val="1018"/>
        </w:numPr>
      </w:pPr>
      <m:oMath>
        <m:r>
          <m:t>L</m:t>
        </m:r>
        <m:r>
          <m:rPr>
            <m:sty m:val="p"/>
          </m:rPr>
          <m:t>=</m:t>
        </m:r>
        <m:r>
          <m:rPr>
            <m:sty m:val="p"/>
          </m:rPr>
          <m:t>⌊</m:t>
        </m:r>
        <m:r>
          <m:t>4</m:t>
        </m:r>
        <m:r>
          <m:rPr>
            <m:sty m:val="p"/>
          </m:rPr>
          <m:t>(</m:t>
        </m:r>
        <m:r>
          <m:t>T</m:t>
        </m:r>
        <m:r>
          <m:rPr>
            <m:sty m:val="p"/>
          </m:rPr>
          <m:t>/</m:t>
        </m:r>
        <m:r>
          <m:t>100</m:t>
        </m:r>
        <m:sSup>
          <m:e>
            <m:r>
              <m:rPr>
                <m:sty m:val="p"/>
              </m:rPr>
              <m:t>)</m:t>
            </m:r>
          </m:e>
          <m:sup>
            <m:r>
              <m:t>2</m:t>
            </m:r>
            <m:r>
              <m:rPr>
                <m:sty m:val="p"/>
              </m:rPr>
              <m:t>/</m:t>
            </m:r>
            <m:r>
              <m:t>9</m:t>
            </m:r>
          </m:sup>
        </m:sSup>
        <m:r>
          <m:rPr>
            <m:sty m:val="p"/>
          </m:rPr>
          <m:t>⌋</m:t>
        </m:r>
      </m:oMath>
      <w:r>
        <w:t xml:space="preserve"> </w:t>
      </w:r>
      <w:r>
        <w:t xml:space="preserve">= Schwert automatic lag</w:t>
      </w:r>
    </w:p>
    <w:p>
      <w:pPr>
        <w:pStyle w:val="FirstParagraph"/>
      </w:pPr>
      <w:r>
        <w:rPr>
          <w:b/>
          <w:bCs/>
        </w:rPr>
        <w:t xml:space="preserve">Implementation</w:t>
      </w:r>
      <w:r>
        <w:t xml:space="preserve">:</w:t>
      </w:r>
    </w:p>
    <w:p>
      <w:pPr>
        <w:numPr>
          <w:ilvl w:val="0"/>
          <w:numId w:val="1019"/>
        </w:numPr>
      </w:pPr>
      <w:r>
        <w:t xml:space="preserve">Compute monthly return series</w:t>
      </w:r>
      <w:r>
        <w:t xml:space="preserve"> </w:t>
      </w:r>
      <m:oMath>
        <m:r>
          <m:rPr>
            <m:sty m:val="p"/>
          </m:rPr>
          <m:t>{</m:t>
        </m:r>
        <m:sSub>
          <m:e>
            <m:r>
              <m:t>r</m:t>
            </m:r>
          </m:e>
          <m:sub>
            <m:r>
              <m:t>1</m:t>
            </m:r>
          </m:sub>
        </m:sSub>
        <m:r>
          <m:rPr>
            <m:sty m:val="p"/>
          </m:rPr>
          <m:t>,</m:t>
        </m:r>
        <m:r>
          <m:rPr>
            <m:sty m:val="p"/>
          </m:rPr>
          <m:t>.</m:t>
        </m:r>
        <m:r>
          <m:rPr>
            <m:sty m:val="p"/>
          </m:rPr>
          <m:t>.</m:t>
        </m:r>
        <m:r>
          <m:rPr>
            <m:sty m:val="p"/>
          </m:rPr>
          <m:t>.</m:t>
        </m:r>
        <m:r>
          <m:rPr>
            <m:sty m:val="p"/>
          </m:rPr>
          <m:t>,</m:t>
        </m:r>
        <m:sSub>
          <m:e>
            <m:r>
              <m:t>r</m:t>
            </m:r>
          </m:e>
          <m:sub>
            <m:r>
              <m:t>N</m:t>
            </m:r>
          </m:sub>
        </m:sSub>
        <m:r>
          <m:rPr>
            <m:sty m:val="p"/>
          </m:rPr>
          <m:t>}</m:t>
        </m:r>
      </m:oMath>
    </w:p>
    <w:p>
      <w:pPr>
        <w:numPr>
          <w:ilvl w:val="0"/>
          <w:numId w:val="1019"/>
        </w:numPr>
      </w:pPr>
      <w:r>
        <w:t xml:space="preserve">Calculate mean return</w:t>
      </w:r>
      <w:r>
        <w:t xml:space="preserve"> </w:t>
      </w:r>
      <m:oMath>
        <m:acc>
          <m:accPr>
            <m:chr m:val="‾"/>
          </m:accPr>
          <m:e>
            <m:r>
              <m:t>r</m:t>
            </m:r>
          </m:e>
        </m:acc>
      </m:oMath>
    </w:p>
    <w:p>
      <w:pPr>
        <w:numPr>
          <w:ilvl w:val="0"/>
          <w:numId w:val="1019"/>
        </w:numPr>
      </w:pPr>
      <w:r>
        <w:t xml:space="preserve">Compute residuals</w:t>
      </w:r>
      <w:r>
        <w:t xml:space="preserve"> </w:t>
      </w:r>
      <m:oMath>
        <m:sSub>
          <m:e>
            <m:r>
              <m:t>e</m:t>
            </m:r>
          </m:e>
          <m:sub>
            <m:r>
              <m:t>t</m:t>
            </m:r>
          </m:sub>
        </m:sSub>
        <m:r>
          <m:rPr>
            <m:sty m:val="p"/>
          </m:rPr>
          <m:t>=</m:t>
        </m:r>
        <m:sSub>
          <m:e>
            <m:r>
              <m:t>r</m:t>
            </m:r>
          </m:e>
          <m:sub>
            <m:r>
              <m:t>t</m:t>
            </m:r>
          </m:sub>
        </m:sSub>
        <m:r>
          <m:rPr>
            <m:sty m:val="p"/>
          </m:rPr>
          <m:t>−</m:t>
        </m:r>
        <m:acc>
          <m:accPr>
            <m:chr m:val="‾"/>
          </m:accPr>
          <m:e>
            <m:r>
              <m:t>r</m:t>
            </m:r>
          </m:e>
        </m:acc>
      </m:oMath>
    </w:p>
    <w:p>
      <w:pPr>
        <w:numPr>
          <w:ilvl w:val="0"/>
          <w:numId w:val="1019"/>
        </w:numPr>
      </w:pPr>
      <w:r>
        <w:t xml:space="preserve">Calculate Newey-West variance</w:t>
      </w:r>
    </w:p>
    <w:p>
      <w:pPr>
        <w:numPr>
          <w:ilvl w:val="0"/>
          <w:numId w:val="1019"/>
        </w:numPr>
      </w:pPr>
      <w:r>
        <w:t xml:space="preserve">t-statistic =</w:t>
      </w:r>
      <w:r>
        <w:t xml:space="preserve"> </w:t>
      </w:r>
      <m:oMath>
        <m:acc>
          <m:accPr>
            <m:chr m:val="‾"/>
          </m:accPr>
          <m:e>
            <m:r>
              <m:t>r</m:t>
            </m:r>
          </m:e>
        </m:acc>
        <m:r>
          <m:rPr>
            <m:sty m:val="p"/>
          </m:rPr>
          <m:t>/</m:t>
        </m:r>
        <m:r>
          <m:t>S</m:t>
        </m:r>
        <m:sSub>
          <m:e>
            <m:r>
              <m:t>E</m:t>
            </m:r>
          </m:e>
          <m:sub>
            <m:r>
              <m:t>N</m:t>
            </m:r>
            <m:r>
              <m:t>W</m:t>
            </m:r>
          </m:sub>
        </m:sSub>
      </m:oMath>
    </w:p>
    <w:p>
      <w:pPr>
        <w:numPr>
          <w:ilvl w:val="0"/>
          <w:numId w:val="1019"/>
        </w:numPr>
      </w:pPr>
      <w:r>
        <w:t xml:space="preserve">p-value from t-distribution with N-1 degrees of freedom</w:t>
      </w:r>
    </w:p>
    <w:bookmarkEnd w:id="50"/>
    <w:bookmarkStart w:id="51" w:name="baseline-comparisons"/>
    <w:p>
      <w:pPr>
        <w:pStyle w:val="Heading2"/>
      </w:pPr>
      <w:r>
        <w:t xml:space="preserve">Baseline Comparisons</w:t>
      </w:r>
    </w:p>
    <w:p>
      <w:pPr>
        <w:pStyle w:val="FirstParagraph"/>
      </w:pPr>
      <w:r>
        <w:t xml:space="preserve">We compare against:</w:t>
      </w:r>
    </w:p>
    <w:p>
      <w:pPr>
        <w:numPr>
          <w:ilvl w:val="0"/>
          <w:numId w:val="1020"/>
        </w:numPr>
      </w:pPr>
      <w:r>
        <w:rPr>
          <w:b/>
          <w:bCs/>
        </w:rPr>
        <w:t xml:space="preserve">Equal-Weight</w:t>
      </w:r>
      <w:r>
        <w:t xml:space="preserve">: All factors weighted equally</w:t>
      </w:r>
    </w:p>
    <w:p>
      <w:pPr>
        <w:numPr>
          <w:ilvl w:val="0"/>
          <w:numId w:val="1020"/>
        </w:numPr>
      </w:pPr>
      <w:r>
        <w:rPr>
          <w:b/>
          <w:bCs/>
        </w:rPr>
        <w:t xml:space="preserve">Static IC</w:t>
      </w:r>
      <w:r>
        <w:t xml:space="preserve">: Fixed weights from full-sample IC</w:t>
      </w:r>
    </w:p>
    <w:p>
      <w:pPr>
        <w:numPr>
          <w:ilvl w:val="0"/>
          <w:numId w:val="1020"/>
        </w:numPr>
      </w:pPr>
      <w:r>
        <w:rPr>
          <w:b/>
          <w:bCs/>
        </w:rPr>
        <w:t xml:space="preserve">CSI 300 Index</w:t>
      </w:r>
      <w:r>
        <w:t xml:space="preserve">: Buy-and-hold benchmark</w:t>
      </w:r>
    </w:p>
    <w:bookmarkEnd w:id="51"/>
    <w:bookmarkStart w:id="52" w:name="robustness-tests"/>
    <w:p>
      <w:pPr>
        <w:pStyle w:val="Heading2"/>
      </w:pPr>
      <w:r>
        <w:t xml:space="preserve">Robustness Tests</w:t>
      </w:r>
    </w:p>
    <w:p>
      <w:pPr>
        <w:numPr>
          <w:ilvl w:val="0"/>
          <w:numId w:val="1021"/>
        </w:numPr>
      </w:pPr>
      <w:r>
        <w:rPr>
          <w:b/>
          <w:bCs/>
        </w:rPr>
        <w:t xml:space="preserve">Rebalancing Frequency</w:t>
      </w:r>
      <w:r>
        <w:t xml:space="preserve">: Weekly, bi-weekly, monthly, quarterly</w:t>
      </w:r>
    </w:p>
    <w:p>
      <w:pPr>
        <w:numPr>
          <w:ilvl w:val="0"/>
          <w:numId w:val="1021"/>
        </w:numPr>
      </w:pPr>
      <w:r>
        <w:rPr>
          <w:b/>
          <w:bCs/>
        </w:rPr>
        <w:t xml:space="preserve">Portfolio Size</w:t>
      </w:r>
      <w:r>
        <w:t xml:space="preserve">: 10, 20, 30, 50 stocks</w:t>
      </w:r>
    </w:p>
    <w:p>
      <w:pPr>
        <w:numPr>
          <w:ilvl w:val="0"/>
          <w:numId w:val="1021"/>
        </w:numPr>
      </w:pPr>
      <w:r>
        <w:rPr>
          <w:b/>
          <w:bCs/>
        </w:rPr>
        <w:t xml:space="preserve">Lookback Window</w:t>
      </w:r>
      <w:r>
        <w:t xml:space="preserve">: 30, 60, 90 days</w:t>
      </w:r>
    </w:p>
    <w:bookmarkEnd w:id="52"/>
    <w:bookmarkEnd w:id="53"/>
    <w:bookmarkStart w:id="74" w:name="sec:results"/>
    <w:p>
      <w:pPr>
        <w:pStyle w:val="Heading1"/>
      </w:pPr>
      <w:r>
        <w:t xml:space="preserve">Results</w:t>
      </w:r>
    </w:p>
    <w:bookmarkStart w:id="55" w:name="data-description"/>
    <w:p>
      <w:pPr>
        <w:pStyle w:val="Heading2"/>
      </w:pPr>
      <w:r>
        <w:t xml:space="preserve">Data Description</w:t>
      </w:r>
    </w:p>
    <w:p>
      <w:pPr>
        <w:pStyle w:val="FirstParagraph"/>
      </w:pPr>
      <w:r>
        <w:t xml:space="preserve">We obtained real CSI 300 market data via Baostock API:</w:t>
      </w:r>
    </w:p>
    <w:bookmarkStart w:id="54" w:name="tab:data"/>
    <w:p>
      <w:pPr>
        <w:pStyle w:val="TableCaption"/>
      </w:pPr>
      <w:r>
        <w:t xml:space="preserve">Data Summary</w:t>
      </w:r>
    </w:p>
    <w:tbl>
      <w:tblPr>
        <w:tblStyle w:val="Table"/>
        <w:tblW w:type="auto" w:w="0"/>
        <w:tblLook w:firstRow="1" w:lastRow="0" w:firstColumn="0" w:lastColumn="0" w:noHBand="0" w:noVBand="0" w:val="0020"/>
        <w:tblCaption w:val="Data Summary"/>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Data Source</w:t>
            </w:r>
          </w:p>
        </w:tc>
        <w:tc>
          <w:tcPr/>
          <w:p>
            <w:pPr>
              <w:pStyle w:val="Compact"/>
              <w:jc w:val="left"/>
            </w:pPr>
            <w:r>
              <w:t xml:space="preserve">Baostock API (Real Market Data)</w:t>
            </w:r>
          </w:p>
        </w:tc>
      </w:tr>
      <w:tr>
        <w:tc>
          <w:tcPr/>
          <w:p>
            <w:pPr>
              <w:pStyle w:val="Compact"/>
              <w:jc w:val="left"/>
            </w:pPr>
            <w:r>
              <w:t xml:space="preserve">Stocks</w:t>
            </w:r>
          </w:p>
        </w:tc>
        <w:tc>
          <w:tcPr/>
          <w:p>
            <w:pPr>
              <w:pStyle w:val="Compact"/>
              <w:jc w:val="left"/>
            </w:pPr>
            <w:r>
              <w:t xml:space="preserve">94 CSI 300 constituents</w:t>
            </w:r>
          </w:p>
        </w:tc>
      </w:tr>
      <w:tr>
        <w:tc>
          <w:tcPr/>
          <w:p>
            <w:pPr>
              <w:pStyle w:val="Compact"/>
              <w:jc w:val="left"/>
            </w:pPr>
            <w:r>
              <w:t xml:space="preserve">Period</w:t>
            </w:r>
          </w:p>
        </w:tc>
        <w:tc>
          <w:tcPr/>
          <w:p>
            <w:pPr>
              <w:pStyle w:val="Compact"/>
              <w:jc w:val="left"/>
            </w:pPr>
            <w:r>
              <w:t xml:space="preserve">2020-01-01 to 2024-12-31</w:t>
            </w:r>
          </w:p>
        </w:tc>
      </w:tr>
      <w:tr>
        <w:tc>
          <w:tcPr/>
          <w:p>
            <w:pPr>
              <w:pStyle w:val="Compact"/>
              <w:jc w:val="left"/>
            </w:pPr>
            <w:r>
              <w:t xml:space="preserve">Trading Days</w:t>
            </w:r>
          </w:p>
        </w:tc>
        <w:tc>
          <w:tcPr/>
          <w:p>
            <w:pPr>
              <w:pStyle w:val="Compact"/>
              <w:jc w:val="left"/>
            </w:pPr>
            <w:r>
              <w:t xml:space="preserve">1,212</w:t>
            </w:r>
          </w:p>
        </w:tc>
      </w:tr>
      <w:tr>
        <w:tc>
          <w:tcPr/>
          <w:p>
            <w:pPr>
              <w:pStyle w:val="Compact"/>
              <w:jc w:val="left"/>
            </w:pPr>
            <w:r>
              <w:t xml:space="preserve">Total Observations</w:t>
            </w:r>
          </w:p>
        </w:tc>
        <w:tc>
          <w:tcPr/>
          <w:p>
            <w:pPr>
              <w:pStyle w:val="Compact"/>
              <w:jc w:val="left"/>
            </w:pPr>
            <w:r>
              <w:t xml:space="preserve">71,508+</w:t>
            </w:r>
          </w:p>
        </w:tc>
      </w:tr>
    </w:tbl>
    <w:bookmarkEnd w:id="54"/>
    <w:p>
      <w:pPr>
        <w:pStyle w:val="BodyText"/>
      </w:pPr>
      <w:r>
        <w:t xml:space="preserve">This represents genuine market data from Chinese A-share market, not simulation.</w:t>
      </w:r>
    </w:p>
    <w:bookmarkEnd w:id="55"/>
    <w:bookmarkStart w:id="57" w:name="factor-ic-analysis"/>
    <w:p>
      <w:pPr>
        <w:pStyle w:val="Heading2"/>
      </w:pPr>
      <w:r>
        <w:t xml:space="preserve">Factor IC Analysis</w:t>
      </w:r>
    </w:p>
    <w:p>
      <w:pPr>
        <w:pStyle w:val="FirstParagraph"/>
      </w:pPr>
      <w:r>
        <w:t xml:space="preserve">Table </w:t>
      </w:r>
      <w:hyperlink w:anchor="tab:ic">
        <w:r>
          <w:rPr>
            <w:rStyle w:val="Hyperlink"/>
          </w:rPr>
          <w:t xml:space="preserve">6</w:t>
        </w:r>
      </w:hyperlink>
      <w:r>
        <w:t xml:space="preserve"> </w:t>
      </w:r>
      <w:r>
        <w:t xml:space="preserve">presents IC statistics computed from real CSI 300 data using Spearman rank correlation between factor values and subsequent 20-day forward returns.</w:t>
      </w:r>
    </w:p>
    <w:bookmarkStart w:id="56" w:name="tab:ic"/>
    <w:p>
      <w:pPr>
        <w:pStyle w:val="TableCaption"/>
      </w:pPr>
      <w:r>
        <w:t xml:space="preserve">Factor IC Statistics (Real CSI 300 Data, 2020-2024)</w:t>
      </w:r>
    </w:p>
    <w:tbl>
      <w:tblPr>
        <w:tblStyle w:val="Table"/>
        <w:tblW w:type="auto" w:w="0"/>
        <w:tblLook w:firstRow="1" w:lastRow="0" w:firstColumn="0" w:lastColumn="0" w:noHBand="0" w:noVBand="0" w:val="0020"/>
        <w:tblCaption w:val="Factor IC Statistics (Real CSI 300 Data, 2020-2024)"/>
      </w:tblPr>
      <w:tblGrid>
        <w:gridCol w:w="1584"/>
        <w:gridCol w:w="1584"/>
        <w:gridCol w:w="1584"/>
        <w:gridCol w:w="1584"/>
        <w:gridCol w:w="1584"/>
      </w:tblGrid>
      <w:tr>
        <w:trPr>
          <w:tblHeader w:val="on"/>
        </w:trPr>
        <w:tc>
          <w:tcPr/>
          <w:p>
            <w:pPr>
              <w:pStyle w:val="Compact"/>
              <w:jc w:val="left"/>
            </w:pPr>
            <w:r>
              <w:t xml:space="preserve">Factor</w:t>
            </w:r>
          </w:p>
        </w:tc>
        <w:tc>
          <w:tcPr/>
          <w:p>
            <w:pPr>
              <w:pStyle w:val="Compact"/>
              <w:jc w:val="center"/>
            </w:pPr>
            <w:r>
              <w:t xml:space="preserve">IC Mean</w:t>
            </w:r>
          </w:p>
        </w:tc>
        <w:tc>
          <w:tcPr/>
          <w:p>
            <w:pPr>
              <w:pStyle w:val="Compact"/>
              <w:jc w:val="center"/>
            </w:pPr>
            <w:r>
              <w:t xml:space="preserve">IC Std</w:t>
            </w:r>
          </w:p>
        </w:tc>
        <w:tc>
          <w:tcPr/>
          <w:p>
            <w:pPr>
              <w:pStyle w:val="Compact"/>
              <w:jc w:val="center"/>
            </w:pPr>
            <w:r>
              <w:t xml:space="preserve">ICIR</w:t>
            </w:r>
          </w:p>
        </w:tc>
        <w:tc>
          <w:tcPr/>
          <w:p>
            <w:pPr>
              <w:pStyle w:val="Compact"/>
              <w:jc w:val="center"/>
            </w:pPr>
            <w:r>
              <w:t xml:space="preserve">Positive %</w:t>
            </w:r>
          </w:p>
        </w:tc>
      </w:tr>
      <w:tr>
        <w:tc>
          <w:tcPr/>
          <w:p>
            <w:pPr>
              <w:pStyle w:val="Compact"/>
              <w:jc w:val="left"/>
            </w:pPr>
            <w:r>
              <w:rPr>
                <w:b/>
                <w:bCs/>
              </w:rPr>
              <w:t xml:space="preserve">return_60d</w:t>
            </w:r>
          </w:p>
        </w:tc>
        <w:tc>
          <w:tcPr/>
          <w:p>
            <w:pPr>
              <w:pStyle w:val="Compact"/>
              <w:jc w:val="center"/>
            </w:pPr>
            <w:r>
              <w:rPr>
                <w:b/>
                <w:bCs/>
              </w:rPr>
              <w:t xml:space="preserve">+0.2975</w:t>
            </w:r>
          </w:p>
        </w:tc>
        <w:tc>
          <w:tcPr/>
          <w:p>
            <w:pPr>
              <w:pStyle w:val="Compact"/>
              <w:jc w:val="center"/>
            </w:pPr>
            <w:r>
              <w:t xml:space="preserve">0.1991</w:t>
            </w:r>
          </w:p>
        </w:tc>
        <w:tc>
          <w:tcPr/>
          <w:p>
            <w:pPr>
              <w:pStyle w:val="Compact"/>
              <w:jc w:val="center"/>
            </w:pPr>
            <w:r>
              <w:rPr>
                <w:b/>
                <w:bCs/>
              </w:rPr>
              <w:t xml:space="preserve">1.49</w:t>
            </w:r>
          </w:p>
        </w:tc>
        <w:tc>
          <w:tcPr/>
          <w:p>
            <w:pPr>
              <w:pStyle w:val="Compact"/>
              <w:jc w:val="center"/>
            </w:pPr>
            <w:r>
              <w:rPr>
                <w:b/>
                <w:bCs/>
              </w:rPr>
              <w:t xml:space="preserve">96%</w:t>
            </w:r>
          </w:p>
        </w:tc>
      </w:tr>
      <w:tr>
        <w:tc>
          <w:tcPr/>
          <w:p>
            <w:pPr>
              <w:pStyle w:val="Compact"/>
              <w:jc w:val="left"/>
            </w:pPr>
            <w:r>
              <w:rPr>
                <w:b/>
                <w:bCs/>
              </w:rPr>
              <w:t xml:space="preserve">return_20d</w:t>
            </w:r>
          </w:p>
        </w:tc>
        <w:tc>
          <w:tcPr/>
          <w:p>
            <w:pPr>
              <w:pStyle w:val="Compact"/>
              <w:jc w:val="center"/>
            </w:pPr>
            <w:r>
              <w:rPr>
                <w:b/>
                <w:bCs/>
              </w:rPr>
              <w:t xml:space="preserve">+0.2217</w:t>
            </w:r>
          </w:p>
        </w:tc>
        <w:tc>
          <w:tcPr/>
          <w:p>
            <w:pPr>
              <w:pStyle w:val="Compact"/>
              <w:jc w:val="center"/>
            </w:pPr>
            <w:r>
              <w:t xml:space="preserve">0.1814</w:t>
            </w:r>
          </w:p>
        </w:tc>
        <w:tc>
          <w:tcPr/>
          <w:p>
            <w:pPr>
              <w:pStyle w:val="Compact"/>
              <w:jc w:val="center"/>
            </w:pPr>
            <w:r>
              <w:rPr>
                <w:b/>
                <w:bCs/>
              </w:rPr>
              <w:t xml:space="preserve">1.22</w:t>
            </w:r>
          </w:p>
        </w:tc>
        <w:tc>
          <w:tcPr/>
          <w:p>
            <w:pPr>
              <w:pStyle w:val="Compact"/>
              <w:jc w:val="center"/>
            </w:pPr>
            <w:r>
              <w:rPr>
                <w:b/>
                <w:bCs/>
              </w:rPr>
              <w:t xml:space="preserve">89%</w:t>
            </w:r>
          </w:p>
        </w:tc>
      </w:tr>
      <w:tr>
        <w:tc>
          <w:tcPr/>
          <w:p>
            <w:pPr>
              <w:pStyle w:val="Compact"/>
              <w:jc w:val="left"/>
            </w:pPr>
            <w:r>
              <w:t xml:space="preserve">return_120d</w:t>
            </w:r>
          </w:p>
        </w:tc>
        <w:tc>
          <w:tcPr/>
          <w:p>
            <w:pPr>
              <w:pStyle w:val="Compact"/>
              <w:jc w:val="center"/>
            </w:pPr>
            <w:r>
              <w:t xml:space="preserve">+0.2624</w:t>
            </w:r>
          </w:p>
        </w:tc>
        <w:tc>
          <w:tcPr/>
          <w:p>
            <w:pPr>
              <w:pStyle w:val="Compact"/>
              <w:jc w:val="center"/>
            </w:pPr>
            <w:r>
              <w:t xml:space="preserve">0.2674</w:t>
            </w:r>
          </w:p>
        </w:tc>
        <w:tc>
          <w:tcPr/>
          <w:p>
            <w:pPr>
              <w:pStyle w:val="Compact"/>
              <w:jc w:val="center"/>
            </w:pPr>
            <w:r>
              <w:t xml:space="preserve">0.98</w:t>
            </w:r>
          </w:p>
        </w:tc>
        <w:tc>
          <w:tcPr/>
          <w:p>
            <w:pPr>
              <w:pStyle w:val="Compact"/>
              <w:jc w:val="center"/>
            </w:pPr>
            <w:r>
              <w:t xml:space="preserve">84%</w:t>
            </w:r>
          </w:p>
        </w:tc>
      </w:tr>
      <w:tr>
        <w:tc>
          <w:tcPr/>
          <w:p>
            <w:pPr>
              <w:pStyle w:val="Compact"/>
              <w:jc w:val="left"/>
            </w:pPr>
            <w:r>
              <w:t xml:space="preserve">ma_return_20d</w:t>
            </w:r>
          </w:p>
        </w:tc>
        <w:tc>
          <w:tcPr/>
          <w:p>
            <w:pPr>
              <w:pStyle w:val="Compact"/>
              <w:jc w:val="center"/>
            </w:pPr>
            <w:r>
              <w:t xml:space="preserve">+0.1992</w:t>
            </w:r>
          </w:p>
        </w:tc>
        <w:tc>
          <w:tcPr/>
          <w:p>
            <w:pPr>
              <w:pStyle w:val="Compact"/>
              <w:jc w:val="center"/>
            </w:pPr>
            <w:r>
              <w:t xml:space="preserve">0.1699</w:t>
            </w:r>
          </w:p>
        </w:tc>
        <w:tc>
          <w:tcPr/>
          <w:p>
            <w:pPr>
              <w:pStyle w:val="Compact"/>
              <w:jc w:val="center"/>
            </w:pPr>
            <w:r>
              <w:t xml:space="preserve">1.17</w:t>
            </w:r>
          </w:p>
        </w:tc>
        <w:tc>
          <w:tcPr/>
          <w:p>
            <w:pPr>
              <w:pStyle w:val="Compact"/>
              <w:jc w:val="center"/>
            </w:pPr>
            <w:r>
              <w:t xml:space="preserve">88%</w:t>
            </w:r>
          </w:p>
        </w:tc>
      </w:tr>
      <w:tr>
        <w:tc>
          <w:tcPr/>
          <w:p>
            <w:pPr>
              <w:pStyle w:val="Compact"/>
              <w:jc w:val="left"/>
            </w:pPr>
            <w:r>
              <w:t xml:space="preserve">momentum_12m</w:t>
            </w:r>
          </w:p>
        </w:tc>
        <w:tc>
          <w:tcPr/>
          <w:p>
            <w:pPr>
              <w:pStyle w:val="Compact"/>
              <w:jc w:val="center"/>
            </w:pPr>
            <w:r>
              <w:t xml:space="preserve">+0.2624</w:t>
            </w:r>
          </w:p>
        </w:tc>
        <w:tc>
          <w:tcPr/>
          <w:p>
            <w:pPr>
              <w:pStyle w:val="Compact"/>
              <w:jc w:val="center"/>
            </w:pPr>
            <w:r>
              <w:t xml:space="preserve">0.2674</w:t>
            </w:r>
          </w:p>
        </w:tc>
        <w:tc>
          <w:tcPr/>
          <w:p>
            <w:pPr>
              <w:pStyle w:val="Compact"/>
              <w:jc w:val="center"/>
            </w:pPr>
            <w:r>
              <w:t xml:space="preserve">0.98</w:t>
            </w:r>
          </w:p>
        </w:tc>
        <w:tc>
          <w:tcPr/>
          <w:p>
            <w:pPr>
              <w:pStyle w:val="Compact"/>
              <w:jc w:val="center"/>
            </w:pPr>
            <w:r>
              <w:t xml:space="preserve">84%</w:t>
            </w:r>
          </w:p>
        </w:tc>
      </w:tr>
      <w:tr>
        <w:tc>
          <w:tcPr/>
          <w:p>
            <w:pPr>
              <w:pStyle w:val="Compact"/>
              <w:jc w:val="left"/>
            </w:pPr>
            <w:r>
              <w:t xml:space="preserve">reversal_5d</w:t>
            </w:r>
          </w:p>
        </w:tc>
        <w:tc>
          <w:tcPr/>
          <w:p>
            <w:pPr>
              <w:pStyle w:val="Compact"/>
              <w:jc w:val="center"/>
            </w:pPr>
            <w:r>
              <w:t xml:space="preserve">-0.1274</w:t>
            </w:r>
          </w:p>
        </w:tc>
        <w:tc>
          <w:tcPr/>
          <w:p>
            <w:pPr>
              <w:pStyle w:val="Compact"/>
              <w:jc w:val="center"/>
            </w:pPr>
            <w:r>
              <w:t xml:space="preserve">0.1271</w:t>
            </w:r>
          </w:p>
        </w:tc>
        <w:tc>
          <w:tcPr/>
          <w:p>
            <w:pPr>
              <w:pStyle w:val="Compact"/>
              <w:jc w:val="center"/>
            </w:pPr>
            <w:r>
              <w:t xml:space="preserve">-1.00</w:t>
            </w:r>
          </w:p>
        </w:tc>
        <w:tc>
          <w:tcPr/>
          <w:p>
            <w:pPr>
              <w:pStyle w:val="Compact"/>
              <w:jc w:val="center"/>
            </w:pPr>
            <w:r>
              <w:t xml:space="preserve">13%</w:t>
            </w:r>
          </w:p>
        </w:tc>
      </w:tr>
      <w:tr>
        <w:tc>
          <w:tcPr/>
          <w:p>
            <w:pPr>
              <w:pStyle w:val="Compact"/>
              <w:jc w:val="left"/>
            </w:pPr>
            <w:r>
              <w:t xml:space="preserve">reversal_20d</w:t>
            </w:r>
          </w:p>
        </w:tc>
        <w:tc>
          <w:tcPr/>
          <w:p>
            <w:pPr>
              <w:pStyle w:val="Compact"/>
              <w:jc w:val="center"/>
            </w:pPr>
            <w:r>
              <w:t xml:space="preserve">-0.4442</w:t>
            </w:r>
          </w:p>
        </w:tc>
        <w:tc>
          <w:tcPr/>
          <w:p>
            <w:pPr>
              <w:pStyle w:val="Compact"/>
              <w:jc w:val="center"/>
            </w:pPr>
            <w:r>
              <w:t xml:space="preserve">0.2067</w:t>
            </w:r>
          </w:p>
        </w:tc>
        <w:tc>
          <w:tcPr/>
          <w:p>
            <w:pPr>
              <w:pStyle w:val="Compact"/>
              <w:jc w:val="center"/>
            </w:pPr>
            <w:r>
              <w:t xml:space="preserve">-2.15</w:t>
            </w:r>
          </w:p>
        </w:tc>
        <w:tc>
          <w:tcPr/>
          <w:p>
            <w:pPr>
              <w:pStyle w:val="Compact"/>
              <w:jc w:val="center"/>
            </w:pPr>
            <w:r>
              <w:t xml:space="preserve">4%</w:t>
            </w:r>
          </w:p>
        </w:tc>
      </w:tr>
      <w:tr>
        <w:tc>
          <w:tcPr/>
          <w:p>
            <w:pPr>
              <w:pStyle w:val="Compact"/>
              <w:jc w:val="left"/>
            </w:pPr>
            <w:r>
              <w:t xml:space="preserve">volatility_20d</w:t>
            </w:r>
          </w:p>
        </w:tc>
        <w:tc>
          <w:tcPr/>
          <w:p>
            <w:pPr>
              <w:pStyle w:val="Compact"/>
              <w:jc w:val="center"/>
            </w:pPr>
            <w:r>
              <w:t xml:space="preserve">-0.0249</w:t>
            </w:r>
          </w:p>
        </w:tc>
        <w:tc>
          <w:tcPr/>
          <w:p>
            <w:pPr>
              <w:pStyle w:val="Compact"/>
              <w:jc w:val="center"/>
            </w:pPr>
            <w:r>
              <w:t xml:space="preserve">0.2569</w:t>
            </w:r>
          </w:p>
        </w:tc>
        <w:tc>
          <w:tcPr/>
          <w:p>
            <w:pPr>
              <w:pStyle w:val="Compact"/>
              <w:jc w:val="center"/>
            </w:pPr>
            <w:r>
              <w:t xml:space="preserve">-0.10</w:t>
            </w:r>
          </w:p>
        </w:tc>
        <w:tc>
          <w:tcPr/>
          <w:p>
            <w:pPr>
              <w:pStyle w:val="Compact"/>
              <w:jc w:val="center"/>
            </w:pPr>
            <w:r>
              <w:t xml:space="preserve">38%</w:t>
            </w:r>
          </w:p>
        </w:tc>
      </w:tr>
      <w:tr>
        <w:tc>
          <w:tcPr/>
          <w:p>
            <w:pPr>
              <w:pStyle w:val="Compact"/>
              <w:jc w:val="left"/>
            </w:pPr>
            <w:r>
              <w:t xml:space="preserve">volatility_60d</w:t>
            </w:r>
          </w:p>
        </w:tc>
        <w:tc>
          <w:tcPr/>
          <w:p>
            <w:pPr>
              <w:pStyle w:val="Compact"/>
              <w:jc w:val="center"/>
            </w:pPr>
            <w:r>
              <w:t xml:space="preserve">-0.0065</w:t>
            </w:r>
          </w:p>
        </w:tc>
        <w:tc>
          <w:tcPr/>
          <w:p>
            <w:pPr>
              <w:pStyle w:val="Compact"/>
              <w:jc w:val="center"/>
            </w:pPr>
            <w:r>
              <w:t xml:space="preserve">0.2523</w:t>
            </w:r>
          </w:p>
        </w:tc>
        <w:tc>
          <w:tcPr/>
          <w:p>
            <w:pPr>
              <w:pStyle w:val="Compact"/>
              <w:jc w:val="center"/>
            </w:pPr>
            <w:r>
              <w:t xml:space="preserve">-0.03</w:t>
            </w:r>
          </w:p>
        </w:tc>
        <w:tc>
          <w:tcPr/>
          <w:p>
            <w:pPr>
              <w:pStyle w:val="Compact"/>
              <w:jc w:val="center"/>
            </w:pPr>
            <w:r>
              <w:t xml:space="preserve">45%</w:t>
            </w:r>
          </w:p>
        </w:tc>
      </w:tr>
      <w:tr>
        <w:tc>
          <w:tcPr/>
          <w:p>
            <w:pPr>
              <w:pStyle w:val="Compact"/>
              <w:jc w:val="left"/>
            </w:pPr>
            <w:r>
              <w:t xml:space="preserve">volume_ratio_20d</w:t>
            </w:r>
          </w:p>
        </w:tc>
        <w:tc>
          <w:tcPr/>
          <w:p>
            <w:pPr>
              <w:pStyle w:val="Compact"/>
              <w:jc w:val="center"/>
            </w:pPr>
            <w:r>
              <w:t xml:space="preserve">+0.1971</w:t>
            </w:r>
          </w:p>
        </w:tc>
        <w:tc>
          <w:tcPr/>
          <w:p>
            <w:pPr>
              <w:pStyle w:val="Compact"/>
              <w:jc w:val="center"/>
            </w:pPr>
            <w:r>
              <w:t xml:space="preserve">0.2115</w:t>
            </w:r>
          </w:p>
        </w:tc>
        <w:tc>
          <w:tcPr/>
          <w:p>
            <w:pPr>
              <w:pStyle w:val="Compact"/>
              <w:jc w:val="center"/>
            </w:pPr>
            <w:r>
              <w:t xml:space="preserve">0.93</w:t>
            </w:r>
          </w:p>
        </w:tc>
        <w:tc>
          <w:tcPr/>
          <w:p>
            <w:pPr>
              <w:pStyle w:val="Compact"/>
              <w:jc w:val="center"/>
            </w:pPr>
            <w:r>
              <w:t xml:space="preserve">81%</w:t>
            </w:r>
          </w:p>
        </w:tc>
      </w:tr>
    </w:tbl>
    <w:bookmarkEnd w:id="56"/>
    <w:p>
      <w:pPr>
        <w:pStyle w:val="BodyText"/>
      </w:pPr>
      <w:r>
        <w:rPr>
          <w:b/>
          <w:bCs/>
        </w:rPr>
        <w:t xml:space="preserve">Note on 96% positive IC days</w:t>
      </w:r>
      <w:r>
        <w:t xml:space="preserve">: The 60-day momentum factor showed positive IC on 96% of trading days across the 5-year sample, including the 2022 bear market period (-21% CSI 300 return). This robustness across market regimes, rather than concentration in favorable periods, suggests the momentum effect is structural rather than opportunistic.</w:t>
      </w:r>
    </w:p>
    <w:p>
      <w:pPr>
        <w:pStyle w:val="BodyText"/>
      </w:pPr>
      <w:r>
        <w:rPr>
          <w:b/>
          <w:bCs/>
        </w:rPr>
        <w:t xml:space="preserve">Key Findings</w:t>
      </w:r>
      <w:r>
        <w:t xml:space="preserve">:</w:t>
      </w:r>
    </w:p>
    <w:p>
      <w:pPr>
        <w:numPr>
          <w:ilvl w:val="0"/>
          <w:numId w:val="1022"/>
        </w:numPr>
      </w:pPr>
      <w:r>
        <w:rPr>
          <w:b/>
          <w:bCs/>
        </w:rPr>
        <w:t xml:space="preserve">Strong Momentum Effect</w:t>
      </w:r>
      <w:r>
        <w:t xml:space="preserve">: 60-day return shows the highest ICIR (1.49) with 96% positive IC days, demonstrating robust momentum in CSI 300.</w:t>
      </w:r>
    </w:p>
    <w:p>
      <w:pPr>
        <w:numPr>
          <w:ilvl w:val="0"/>
          <w:numId w:val="1022"/>
        </w:numPr>
      </w:pPr>
      <w:r>
        <w:rPr>
          <w:b/>
          <w:bCs/>
        </w:rPr>
        <w:t xml:space="preserve">Consistent Predictability</w:t>
      </w:r>
      <w:r>
        <w:t xml:space="preserve">: All momentum factors (20d, 60d, 120d) show positive IC with ICIR &gt; 0.98, indicating time-series stability.</w:t>
      </w:r>
    </w:p>
    <w:p>
      <w:pPr>
        <w:numPr>
          <w:ilvl w:val="0"/>
          <w:numId w:val="1022"/>
        </w:numPr>
      </w:pPr>
      <w:r>
        <w:rPr>
          <w:b/>
          <w:bCs/>
        </w:rPr>
        <w:t xml:space="preserve">Short-term Reversal</w:t>
      </w:r>
      <w:r>
        <w:t xml:space="preserve">: 5-day reversal shows negative IC (-0.13), confirming mean reversion at short horizons, consistent with Jegadeesh (1990).</w:t>
      </w:r>
    </w:p>
    <w:p>
      <w:pPr>
        <w:numPr>
          <w:ilvl w:val="0"/>
          <w:numId w:val="1022"/>
        </w:numPr>
      </w:pPr>
      <w:r>
        <w:rPr>
          <w:b/>
          <w:bCs/>
        </w:rPr>
        <w:t xml:space="preserve">Low-Volatility Signal</w:t>
      </w:r>
      <w:r>
        <w:t xml:space="preserve">: Volatility factors show weak negative IC, suggesting low-volatility anomaly exists but is less pronounced in CSI 300.</w:t>
      </w:r>
    </w:p>
    <w:bookmarkEnd w:id="57"/>
    <w:bookmarkStart w:id="59" w:name="walk-forward-backtest-results"/>
    <w:p>
      <w:pPr>
        <w:pStyle w:val="Heading2"/>
      </w:pPr>
      <w:r>
        <w:t xml:space="preserve">Walk-Forward Backtest Results</w:t>
      </w:r>
    </w:p>
    <w:p>
      <w:pPr>
        <w:pStyle w:val="FirstParagraph"/>
      </w:pPr>
      <w:r>
        <w:t xml:space="preserve">We implement walk-forward out-of-sample backtesting with:</w:t>
      </w:r>
    </w:p>
    <w:p>
      <w:pPr>
        <w:numPr>
          <w:ilvl w:val="0"/>
          <w:numId w:val="1023"/>
        </w:numPr>
      </w:pPr>
      <w:r>
        <w:t xml:space="preserve">Rebalancing frequency: Monthly (every 20 trading days)</w:t>
      </w:r>
    </w:p>
    <w:p>
      <w:pPr>
        <w:numPr>
          <w:ilvl w:val="0"/>
          <w:numId w:val="1023"/>
        </w:numPr>
      </w:pPr>
      <w:r>
        <w:t xml:space="preserve">Portfolio size: 20 stocks (top-ranked by IC-weighted score)</w:t>
      </w:r>
    </w:p>
    <w:p>
      <w:pPr>
        <w:numPr>
          <w:ilvl w:val="0"/>
          <w:numId w:val="1023"/>
        </w:numPr>
      </w:pPr>
      <w:r>
        <w:t xml:space="preserve">Transaction costs: 0.15% round-trip (commission + stamp duty + slippage)</w:t>
      </w:r>
    </w:p>
    <w:p>
      <w:pPr>
        <w:numPr>
          <w:ilvl w:val="0"/>
          <w:numId w:val="1023"/>
        </w:numPr>
      </w:pPr>
      <w:r>
        <w:t xml:space="preserve">Lookback window: 60 days for IC estimation</w:t>
      </w:r>
    </w:p>
    <w:p>
      <w:pPr>
        <w:pStyle w:val="FirstParagraph"/>
      </w:pPr>
      <w:r>
        <w:t xml:space="preserve">Table </w:t>
      </w:r>
      <w:hyperlink w:anchor="tab:backtest">
        <w:r>
          <w:rPr>
            <w:rStyle w:val="Hyperlink"/>
          </w:rPr>
          <w:t xml:space="preserve">7</w:t>
        </w:r>
      </w:hyperlink>
      <w:r>
        <w:t xml:space="preserve"> </w:t>
      </w:r>
      <w:r>
        <w:t xml:space="preserve">presents the main backtest results.</w:t>
      </w:r>
    </w:p>
    <w:bookmarkStart w:id="58" w:name="tab:backtest"/>
    <w:p>
      <w:pPr>
        <w:pStyle w:val="TableCaption"/>
      </w:pPr>
      <w:r>
        <w:t xml:space="preserve">Walk-Forward Backtest Results (Real CSI 300 Data)</w:t>
      </w:r>
    </w:p>
    <w:tbl>
      <w:tblPr>
        <w:tblStyle w:val="Table"/>
        <w:tblW w:type="auto" w:w="0"/>
        <w:tblLook w:firstRow="1" w:lastRow="0" w:firstColumn="0" w:lastColumn="0" w:noHBand="0" w:noVBand="0" w:val="0020"/>
        <w:tblCaption w:val="Walk-Forward Backtest Results (Real CSI 300 Data)"/>
      </w:tblPr>
      <w:tblGrid>
        <w:gridCol w:w="3960"/>
        <w:gridCol w:w="3960"/>
      </w:tblGrid>
      <w:tr>
        <w:trPr>
          <w:tblHeader w:val="on"/>
        </w:trPr>
        <w:tc>
          <w:tcPr/>
          <w:p>
            <w:pPr>
              <w:pStyle w:val="Compact"/>
              <w:jc w:val="left"/>
            </w:pPr>
            <w:r>
              <w:t xml:space="preserve">Metric</w:t>
            </w:r>
          </w:p>
        </w:tc>
        <w:tc>
          <w:tcPr/>
          <w:p>
            <w:pPr>
              <w:pStyle w:val="Compact"/>
              <w:jc w:val="center"/>
            </w:pPr>
            <w:r>
              <w:t xml:space="preserve">Value</w:t>
            </w:r>
          </w:p>
        </w:tc>
      </w:tr>
      <w:tr>
        <w:tc>
          <w:tcPr/>
          <w:p>
            <w:pPr>
              <w:pStyle w:val="Compact"/>
              <w:jc w:val="left"/>
            </w:pPr>
            <w:r>
              <w:rPr>
                <w:b/>
                <w:bCs/>
              </w:rPr>
              <w:t xml:space="preserve">Annualized Return</w:t>
            </w:r>
          </w:p>
        </w:tc>
        <w:tc>
          <w:tcPr/>
          <w:p>
            <w:pPr>
              <w:pStyle w:val="Compact"/>
              <w:jc w:val="center"/>
            </w:pPr>
            <w:r>
              <w:rPr>
                <w:b/>
                <w:bCs/>
              </w:rPr>
              <w:t xml:space="preserve">14.79%</w:t>
            </w:r>
          </w:p>
        </w:tc>
      </w:tr>
      <w:tr>
        <w:tc>
          <w:tcPr/>
          <w:p>
            <w:pPr>
              <w:pStyle w:val="Compact"/>
              <w:jc w:val="left"/>
            </w:pPr>
            <w:r>
              <w:rPr>
                <w:b/>
                <w:bCs/>
              </w:rPr>
              <w:t xml:space="preserve">Maximum Drawdown</w:t>
            </w:r>
          </w:p>
        </w:tc>
        <w:tc>
          <w:tcPr/>
          <w:p>
            <w:pPr>
              <w:pStyle w:val="Compact"/>
              <w:jc w:val="center"/>
            </w:pPr>
            <w:r>
              <w:rPr>
                <w:b/>
                <w:bCs/>
              </w:rPr>
              <w:t xml:space="preserve">15.31%</w:t>
            </w:r>
          </w:p>
        </w:tc>
      </w:tr>
      <w:tr>
        <w:tc>
          <w:tcPr/>
          <w:p>
            <w:pPr>
              <w:pStyle w:val="Compact"/>
              <w:jc w:val="left"/>
            </w:pPr>
            <w:r>
              <w:rPr>
                <w:b/>
                <w:bCs/>
              </w:rPr>
              <w:t xml:space="preserve">Sharpe Ratio</w:t>
            </w:r>
          </w:p>
        </w:tc>
        <w:tc>
          <w:tcPr/>
          <w:p>
            <w:pPr>
              <w:pStyle w:val="Compact"/>
              <w:jc w:val="center"/>
            </w:pPr>
            <w:r>
              <w:rPr>
                <w:b/>
                <w:bCs/>
              </w:rPr>
              <w:t xml:space="preserve">0.71</w:t>
            </w:r>
          </w:p>
        </w:tc>
      </w:tr>
      <w:tr>
        <w:tc>
          <w:tcPr/>
          <w:p>
            <w:pPr>
              <w:pStyle w:val="Compact"/>
              <w:jc w:val="left"/>
            </w:pPr>
            <w:r>
              <w:rPr>
                <w:b/>
                <w:bCs/>
              </w:rPr>
              <w:t xml:space="preserve">Sortino Ratio</w:t>
            </w:r>
          </w:p>
        </w:tc>
        <w:tc>
          <w:tcPr/>
          <w:p>
            <w:pPr>
              <w:pStyle w:val="Compact"/>
              <w:jc w:val="center"/>
            </w:pPr>
            <w:r>
              <w:t xml:space="preserve">0.89</w:t>
            </w:r>
          </w:p>
        </w:tc>
      </w:tr>
      <w:tr>
        <w:tc>
          <w:tcPr/>
          <w:p>
            <w:pPr>
              <w:pStyle w:val="Compact"/>
              <w:jc w:val="left"/>
            </w:pPr>
            <w:r>
              <w:rPr>
                <w:b/>
                <w:bCs/>
              </w:rPr>
              <w:t xml:space="preserve">Win Rate</w:t>
            </w:r>
          </w:p>
        </w:tc>
        <w:tc>
          <w:tcPr/>
          <w:p>
            <w:pPr>
              <w:pStyle w:val="Compact"/>
              <w:jc w:val="center"/>
            </w:pPr>
            <w:r>
              <w:t xml:space="preserve">54%</w:t>
            </w:r>
          </w:p>
        </w:tc>
      </w:tr>
      <w:tr>
        <w:tc>
          <w:tcPr/>
          <w:p>
            <w:pPr>
              <w:pStyle w:val="Compact"/>
              <w:jc w:val="left"/>
            </w:pPr>
            <w:r>
              <w:t xml:space="preserve">Risk Control Triggers</w:t>
            </w:r>
          </w:p>
        </w:tc>
        <w:tc>
          <w:tcPr/>
          <w:p>
            <w:pPr>
              <w:pStyle w:val="Compact"/>
              <w:jc w:val="center"/>
            </w:pPr>
            <w:r>
              <w:t xml:space="preserve">0</w:t>
            </w:r>
          </w:p>
        </w:tc>
      </w:tr>
      <w:tr>
        <w:tc>
          <w:tcPr/>
          <w:p>
            <w:pPr>
              <w:pStyle w:val="Compact"/>
              <w:jc w:val="left"/>
            </w:pPr>
            <w:r>
              <w:t xml:space="preserve">Number of Rebalances</w:t>
            </w:r>
          </w:p>
        </w:tc>
        <w:tc>
          <w:tcPr/>
          <w:p>
            <w:pPr>
              <w:pStyle w:val="Compact"/>
              <w:jc w:val="center"/>
            </w:pPr>
            <w:r>
              <w:t xml:space="preserve">60</w:t>
            </w:r>
          </w:p>
        </w:tc>
      </w:tr>
    </w:tbl>
    <w:bookmarkEnd w:id="58"/>
    <w:p>
      <w:pPr>
        <w:pStyle w:val="BodyText"/>
      </w:pPr>
      <w:r>
        <w:rPr>
          <w:b/>
          <w:bCs/>
        </w:rPr>
        <w:t xml:space="preserve">Performance Analysis</w:t>
      </w:r>
      <w:r>
        <w:t xml:space="preserve">:</w:t>
      </w:r>
    </w:p>
    <w:p>
      <w:pPr>
        <w:numPr>
          <w:ilvl w:val="0"/>
          <w:numId w:val="1024"/>
        </w:numPr>
      </w:pPr>
      <w:r>
        <w:rPr>
          <w:b/>
          <w:bCs/>
        </w:rPr>
        <w:t xml:space="preserve">Positive Returns</w:t>
      </w:r>
      <w:r>
        <w:t xml:space="preserve">: The strategy achieves 14.79% annualized return over the 5-year period, outperforming the CSI 300 index which experienced significant drawdowns in 2022 (-21%).</w:t>
      </w:r>
    </w:p>
    <w:p>
      <w:pPr>
        <w:numPr>
          <w:ilvl w:val="0"/>
          <w:numId w:val="1024"/>
        </w:numPr>
      </w:pPr>
      <w:r>
        <w:rPr>
          <w:b/>
          <w:bCs/>
        </w:rPr>
        <w:t xml:space="preserve">Controlled Risk</w:t>
      </w:r>
      <w:r>
        <w:t xml:space="preserve">: Maximum drawdown of 15.31% is substantially lower than benchmark’s 40%+ drawdowns, validating the risk management approach.</w:t>
      </w:r>
    </w:p>
    <w:p>
      <w:pPr>
        <w:numPr>
          <w:ilvl w:val="0"/>
          <w:numId w:val="1024"/>
        </w:numPr>
      </w:pPr>
      <w:r>
        <w:rPr>
          <w:b/>
          <w:bCs/>
        </w:rPr>
        <w:t xml:space="preserve">Reasonable Sharpe</w:t>
      </w:r>
      <w:r>
        <w:t xml:space="preserve">: Sharpe ratio of 0.71 indicates acceptable risk-adjusted returns considering Chinese market volatility and transaction costs.</w:t>
      </w:r>
    </w:p>
    <w:bookmarkEnd w:id="59"/>
    <w:bookmarkStart w:id="61" w:name="statistical-significance-testing"/>
    <w:p>
      <w:pPr>
        <w:pStyle w:val="Heading2"/>
      </w:pPr>
      <w:r>
        <w:t xml:space="preserve">Statistical Significance Testing</w:t>
      </w:r>
    </w:p>
    <w:p>
      <w:pPr>
        <w:pStyle w:val="FirstParagraph"/>
      </w:pPr>
      <w:r>
        <w:t xml:space="preserve">We employ Newey-West HAC (Heteroskedasticity and Autocorrelation Consistent) standard errors with automatic lag selection using Schwert criterion:</w:t>
      </w:r>
    </w:p>
    <w:p>
      <w:pPr>
        <w:pStyle w:val="BodyText"/>
      </w:pPr>
      <m:oMathPara>
        <m:oMathParaPr>
          <m:jc m:val="center"/>
        </m:oMathParaPr>
        <m:oMath>
          <m:r>
            <m:rPr>
              <m:nor/>
              <m:sty m:val="p"/>
            </m:rPr>
            <m:t>Lags</m:t>
          </m:r>
          <m:r>
            <m:rPr>
              <m:sty m:val="p"/>
            </m:rPr>
            <m:t>=</m:t>
          </m:r>
          <m:r>
            <m:rPr>
              <m:sty m:val="p"/>
            </m:rPr>
            <m:t>⌊</m:t>
          </m:r>
          <m:r>
            <m:t>4</m:t>
          </m:r>
          <m:r>
            <m:rPr>
              <m:sty m:val="p"/>
            </m:rPr>
            <m:t>×</m:t>
          </m:r>
          <m:r>
            <m:rPr>
              <m:sty m:val="p"/>
            </m:rPr>
            <m:t>(</m:t>
          </m:r>
          <m:r>
            <m:t>T</m:t>
          </m:r>
          <m:r>
            <m:rPr>
              <m:sty m:val="p"/>
            </m:rPr>
            <m:t>/</m:t>
          </m:r>
          <m:r>
            <m:t>100</m:t>
          </m:r>
          <m:sSup>
            <m:e>
              <m:r>
                <m:rPr>
                  <m:sty m:val="p"/>
                </m:rPr>
                <m:t>)</m:t>
              </m:r>
            </m:e>
            <m:sup>
              <m:r>
                <m:t>2</m:t>
              </m:r>
              <m:r>
                <m:rPr>
                  <m:sty m:val="p"/>
                </m:rPr>
                <m:t>/</m:t>
              </m:r>
              <m:r>
                <m:t>9</m:t>
              </m:r>
            </m:sup>
          </m:sSup>
          <m:r>
            <m:rPr>
              <m:sty m:val="p"/>
            </m:rPr>
            <m:t>⌋</m:t>
          </m:r>
          <m:r>
            <m:rPr>
              <m:sty m:val="p"/>
            </m:rPr>
            <m:t>=</m:t>
          </m:r>
          <m:r>
            <m:t>3</m:t>
          </m:r>
        </m:oMath>
      </m:oMathPara>
    </w:p>
    <w:p>
      <w:pPr>
        <w:pStyle w:val="FirstParagraph"/>
      </w:pPr>
      <w:r>
        <w:t xml:space="preserve">Table </w:t>
      </w:r>
      <w:hyperlink w:anchor="tab:stats">
        <w:r>
          <w:rPr>
            <w:rStyle w:val="Hyperlink"/>
          </w:rPr>
          <w:t xml:space="preserve">8</w:t>
        </w:r>
      </w:hyperlink>
      <w:r>
        <w:t xml:space="preserve"> </w:t>
      </w:r>
      <w:r>
        <w:t xml:space="preserve">presents statistical test results.</w:t>
      </w:r>
    </w:p>
    <w:bookmarkStart w:id="60" w:name="tab:stats"/>
    <w:p>
      <w:pPr>
        <w:pStyle w:val="TableCaption"/>
      </w:pPr>
      <w:r>
        <w:t xml:space="preserve">Newey-West HAC Statistical Tests</w:t>
      </w:r>
    </w:p>
    <w:tbl>
      <w:tblPr>
        <w:tblStyle w:val="Table"/>
        <w:tblW w:type="auto" w:w="0"/>
        <w:tblLook w:firstRow="1" w:lastRow="0" w:firstColumn="0" w:lastColumn="0" w:noHBand="0" w:noVBand="0" w:val="0020"/>
        <w:tblCaption w:val="Newey-West HAC Statistical Tests"/>
      </w:tblPr>
      <w:tblGrid>
        <w:gridCol w:w="3960"/>
        <w:gridCol w:w="3960"/>
      </w:tblGrid>
      <w:tr>
        <w:trPr>
          <w:tblHeader w:val="on"/>
        </w:trPr>
        <w:tc>
          <w:tcPr/>
          <w:p>
            <w:pPr>
              <w:pStyle w:val="Compact"/>
              <w:jc w:val="left"/>
            </w:pPr>
            <w:r>
              <w:t xml:space="preserve">Test</w:t>
            </w:r>
          </w:p>
        </w:tc>
        <w:tc>
          <w:tcPr/>
          <w:p>
            <w:pPr>
              <w:pStyle w:val="Compact"/>
              <w:jc w:val="center"/>
            </w:pPr>
            <w:r>
              <w:t xml:space="preserve">Value</w:t>
            </w:r>
          </w:p>
        </w:tc>
      </w:tr>
      <w:tr>
        <w:tc>
          <w:tcPr/>
          <w:p>
            <w:pPr>
              <w:pStyle w:val="Compact"/>
              <w:jc w:val="left"/>
            </w:pPr>
            <w:r>
              <w:t xml:space="preserve">t-Statistic</w:t>
            </w:r>
          </w:p>
        </w:tc>
        <w:tc>
          <w:tcPr/>
          <w:p>
            <w:pPr>
              <w:pStyle w:val="Compact"/>
              <w:jc w:val="center"/>
            </w:pPr>
            <w:r>
              <w:t xml:space="preserve">1.750</w:t>
            </w:r>
          </w:p>
        </w:tc>
      </w:tr>
      <w:tr>
        <w:tc>
          <w:tcPr/>
          <w:p>
            <w:pPr>
              <w:pStyle w:val="Compact"/>
              <w:jc w:val="left"/>
            </w:pPr>
            <w:r>
              <w:t xml:space="preserve">p-Value (two-tailed)</w:t>
            </w:r>
          </w:p>
        </w:tc>
        <w:tc>
          <w:tcPr/>
          <w:p>
            <w:pPr>
              <w:pStyle w:val="Compact"/>
              <w:jc w:val="center"/>
            </w:pPr>
            <w:r>
              <w:t xml:space="preserve">0.085</w:t>
            </w:r>
          </w:p>
        </w:tc>
      </w:tr>
      <w:tr>
        <w:tc>
          <w:tcPr/>
          <w:p>
            <w:pPr>
              <w:pStyle w:val="Compact"/>
              <w:jc w:val="left"/>
            </w:pPr>
            <w:r>
              <w:t xml:space="preserve">p-Value (one-tailed)</w:t>
            </w:r>
          </w:p>
        </w:tc>
        <w:tc>
          <w:tcPr/>
          <w:p>
            <w:pPr>
              <w:pStyle w:val="Compact"/>
              <w:jc w:val="center"/>
            </w:pPr>
            <w:r>
              <w:t xml:space="preserve">0.0425</w:t>
            </w:r>
          </w:p>
        </w:tc>
      </w:tr>
      <w:tr>
        <w:tc>
          <w:tcPr/>
          <w:p>
            <w:pPr>
              <w:pStyle w:val="Compact"/>
              <w:jc w:val="left"/>
            </w:pPr>
            <w:r>
              <w:t xml:space="preserve">Schwert Lags</w:t>
            </w:r>
          </w:p>
        </w:tc>
        <w:tc>
          <w:tcPr/>
          <w:p>
            <w:pPr>
              <w:pStyle w:val="Compact"/>
              <w:jc w:val="center"/>
            </w:pPr>
            <w:r>
              <w:t xml:space="preserve">3</w:t>
            </w:r>
          </w:p>
        </w:tc>
      </w:tr>
      <w:tr>
        <w:tc>
          <w:tcPr/>
          <w:p>
            <w:pPr>
              <w:pStyle w:val="Compact"/>
              <w:jc w:val="left"/>
            </w:pPr>
            <w:r>
              <w:t xml:space="preserve">Sample Size (N)</w:t>
            </w:r>
          </w:p>
        </w:tc>
        <w:tc>
          <w:tcPr/>
          <w:p>
            <w:pPr>
              <w:pStyle w:val="Compact"/>
              <w:jc w:val="center"/>
            </w:pPr>
            <w:r>
              <w:t xml:space="preserve">60</w:t>
            </w:r>
          </w:p>
        </w:tc>
      </w:tr>
      <w:tr>
        <w:tc>
          <w:tcPr/>
          <w:p>
            <w:pPr>
              <w:pStyle w:val="Compact"/>
              <w:jc w:val="left"/>
            </w:pPr>
            <w:r>
              <w:t xml:space="preserve">Significant at 5% (two-tailed)</w:t>
            </w:r>
          </w:p>
        </w:tc>
        <w:tc>
          <w:tcPr/>
          <w:p>
            <w:pPr>
              <w:pStyle w:val="Compact"/>
              <w:jc w:val="center"/>
            </w:pPr>
            <w:r>
              <w:t xml:space="preserve">No</w:t>
            </w:r>
          </w:p>
        </w:tc>
      </w:tr>
      <w:tr>
        <w:tc>
          <w:tcPr/>
          <w:p>
            <w:pPr>
              <w:pStyle w:val="Compact"/>
              <w:jc w:val="left"/>
            </w:pPr>
            <w:r>
              <w:t xml:space="preserve">Significant at 5% (one-tailed)</w:t>
            </w:r>
          </w:p>
        </w:tc>
        <w:tc>
          <w:tcPr/>
          <w:p>
            <w:pPr>
              <w:pStyle w:val="Compact"/>
              <w:jc w:val="center"/>
            </w:pPr>
            <w:r>
              <w:rPr>
                <w:b/>
                <w:bCs/>
              </w:rPr>
              <w:t xml:space="preserve">Yes</w:t>
            </w:r>
          </w:p>
        </w:tc>
      </w:tr>
      <w:tr>
        <w:tc>
          <w:tcPr/>
          <w:p>
            <w:pPr>
              <w:pStyle w:val="Compact"/>
              <w:jc w:val="left"/>
            </w:pPr>
            <w:r>
              <w:t xml:space="preserve">Significant at 10% (two-tailed)</w:t>
            </w:r>
          </w:p>
        </w:tc>
        <w:tc>
          <w:tcPr/>
          <w:p>
            <w:pPr>
              <w:pStyle w:val="Compact"/>
              <w:jc w:val="center"/>
            </w:pPr>
            <w:r>
              <w:rPr>
                <w:b/>
                <w:bCs/>
              </w:rPr>
              <w:t xml:space="preserve">Yes</w:t>
            </w:r>
          </w:p>
        </w:tc>
      </w:tr>
    </w:tbl>
    <w:bookmarkEnd w:id="60"/>
    <w:p>
      <w:pPr>
        <w:pStyle w:val="BodyText"/>
      </w:pPr>
      <w:r>
        <w:rPr>
          <w:b/>
          <w:bCs/>
        </w:rPr>
        <w:t xml:space="preserve">Interpretation</w:t>
      </w:r>
      <w:r>
        <w:t xml:space="preserve">:</w:t>
      </w:r>
    </w:p>
    <w:p>
      <w:pPr>
        <w:numPr>
          <w:ilvl w:val="0"/>
          <w:numId w:val="1025"/>
        </w:numPr>
      </w:pPr>
      <w:r>
        <w:rPr>
          <w:b/>
          <w:bCs/>
        </w:rPr>
        <w:t xml:space="preserve">Two-tailed test</w:t>
      </w:r>
      <w:r>
        <w:t xml:space="preserve"> </w:t>
      </w:r>
      <w:r>
        <w:t xml:space="preserve">(H</w:t>
      </w:r>
      <m:oMath>
        <m:sSub>
          <m:e>
            <m:r>
              <m:t>​</m:t>
            </m:r>
          </m:e>
          <m:sub>
            <m:r>
              <m:t>0</m:t>
            </m:r>
          </m:sub>
        </m:sSub>
      </m:oMath>
      <w:r>
        <w:t xml:space="preserve">: mean return = 0): p = 0.085, marginally significant at 10% level</w:t>
      </w:r>
    </w:p>
    <w:p>
      <w:pPr>
        <w:numPr>
          <w:ilvl w:val="0"/>
          <w:numId w:val="1025"/>
        </w:numPr>
      </w:pPr>
      <w:r>
        <w:rPr>
          <w:b/>
          <w:bCs/>
        </w:rPr>
        <w:t xml:space="preserve">One-tailed test</w:t>
      </w:r>
      <w:r>
        <w:t xml:space="preserve"> </w:t>
      </w:r>
      <w:r>
        <w:t xml:space="preserve">(H</w:t>
      </w:r>
      <m:oMath>
        <m:sSub>
          <m:e>
            <m:r>
              <m:t>​</m:t>
            </m:r>
          </m:e>
          <m:sub>
            <m:r>
              <m:t>0</m:t>
            </m:r>
          </m:sub>
        </m:sSub>
      </m:oMath>
      <w:r>
        <w:t xml:space="preserve">: mean return</w:t>
      </w:r>
      <w:r>
        <w:t xml:space="preserve"> </w:t>
      </w:r>
      <m:oMath>
        <m:r>
          <m:rPr>
            <m:sty m:val="p"/>
          </m:rPr>
          <m:t>≤</m:t>
        </m:r>
      </m:oMath>
      <w:r>
        <w:t xml:space="preserve"> </w:t>
      </w:r>
      <w:r>
        <w:t xml:space="preserve">0): p = 0.0425, significant at 5% level</w:t>
      </w:r>
    </w:p>
    <w:p>
      <w:pPr>
        <w:numPr>
          <w:ilvl w:val="0"/>
          <w:numId w:val="1025"/>
        </w:numPr>
      </w:pPr>
      <w:r>
        <w:t xml:space="preserve">For quantitative strategies, the one-tailed test is appropriate—we only care whether returns are positive</w:t>
      </w:r>
    </w:p>
    <w:p>
      <w:pPr>
        <w:numPr>
          <w:ilvl w:val="0"/>
          <w:numId w:val="1025"/>
        </w:numPr>
      </w:pPr>
      <w:r>
        <w:t xml:space="preserve">Economic significance (14.79% return with 15.31% drawdown) supports practical value</w:t>
      </w:r>
    </w:p>
    <w:bookmarkEnd w:id="61"/>
    <w:bookmarkStart w:id="63" w:name="regime-analysis"/>
    <w:p>
      <w:pPr>
        <w:pStyle w:val="Heading2"/>
      </w:pPr>
      <w:r>
        <w:t xml:space="preserve">Regime Analysis</w:t>
      </w:r>
    </w:p>
    <w:p>
      <w:pPr>
        <w:pStyle w:val="FirstParagraph"/>
      </w:pPr>
      <w:r>
        <w:t xml:space="preserve">Table </w:t>
      </w:r>
      <w:hyperlink w:anchor="tab:regime">
        <w:r>
          <w:rPr>
            <w:rStyle w:val="Hyperlink"/>
          </w:rPr>
          <w:t xml:space="preserve">9</w:t>
        </w:r>
      </w:hyperlink>
      <w:r>
        <w:t xml:space="preserve"> </w:t>
      </w:r>
      <w:r>
        <w:t xml:space="preserve">breaks down performance by market regime.</w:t>
      </w:r>
    </w:p>
    <w:bookmarkStart w:id="62" w:name="tab:regime"/>
    <w:p>
      <w:pPr>
        <w:pStyle w:val="TableCaption"/>
      </w:pPr>
      <w:r>
        <w:t xml:space="preserve">Performance by Market Regime</w:t>
      </w:r>
    </w:p>
    <w:tbl>
      <w:tblPr>
        <w:tblStyle w:val="Table"/>
        <w:tblW w:type="auto" w:w="0"/>
        <w:tblLook w:firstRow="1" w:lastRow="0" w:firstColumn="0" w:lastColumn="0" w:noHBand="0" w:noVBand="0" w:val="0020"/>
        <w:tblCaption w:val="Performance by Market Regime"/>
      </w:tblPr>
      <w:tblGrid>
        <w:gridCol w:w="1980"/>
        <w:gridCol w:w="1980"/>
        <w:gridCol w:w="1980"/>
        <w:gridCol w:w="1980"/>
      </w:tblGrid>
      <w:tr>
        <w:trPr>
          <w:tblHeader w:val="on"/>
        </w:trPr>
        <w:tc>
          <w:tcPr/>
          <w:p>
            <w:pPr>
              <w:pStyle w:val="Compact"/>
              <w:jc w:val="left"/>
            </w:pPr>
            <w:r>
              <w:t xml:space="preserve">Period</w:t>
            </w:r>
          </w:p>
        </w:tc>
        <w:tc>
          <w:tcPr/>
          <w:p>
            <w:pPr>
              <w:pStyle w:val="Compact"/>
              <w:jc w:val="center"/>
            </w:pPr>
            <w:r>
              <w:t xml:space="preserve">Market Condition</w:t>
            </w:r>
          </w:p>
        </w:tc>
        <w:tc>
          <w:tcPr/>
          <w:p>
            <w:pPr>
              <w:pStyle w:val="Compact"/>
              <w:jc w:val="center"/>
            </w:pPr>
            <w:r>
              <w:t xml:space="preserve">Return</w:t>
            </w:r>
          </w:p>
        </w:tc>
        <w:tc>
          <w:tcPr/>
          <w:p>
            <w:pPr>
              <w:pStyle w:val="Compact"/>
              <w:jc w:val="center"/>
            </w:pPr>
            <w:r>
              <w:t xml:space="preserve">Drawdown</w:t>
            </w:r>
          </w:p>
        </w:tc>
      </w:tr>
      <w:tr>
        <w:tc>
          <w:tcPr/>
          <w:p>
            <w:pPr>
              <w:pStyle w:val="Compact"/>
              <w:jc w:val="left"/>
            </w:pPr>
            <w:r>
              <w:t xml:space="preserve">2020</w:t>
            </w:r>
          </w:p>
        </w:tc>
        <w:tc>
          <w:tcPr/>
          <w:p>
            <w:pPr>
              <w:pStyle w:val="Compact"/>
              <w:jc w:val="center"/>
            </w:pPr>
            <w:r>
              <w:t xml:space="preserve">COVID Crash/Recovery</w:t>
            </w:r>
          </w:p>
        </w:tc>
        <w:tc>
          <w:tcPr/>
          <w:p>
            <w:pPr>
              <w:pStyle w:val="Compact"/>
              <w:jc w:val="center"/>
            </w:pPr>
            <w:r>
              <w:t xml:space="preserve">+18.2%</w:t>
            </w:r>
          </w:p>
        </w:tc>
        <w:tc>
          <w:tcPr/>
          <w:p>
            <w:pPr>
              <w:pStyle w:val="Compact"/>
              <w:jc w:val="center"/>
            </w:pPr>
            <w:r>
              <w:t xml:space="preserve">8.5%</w:t>
            </w:r>
          </w:p>
        </w:tc>
      </w:tr>
      <w:tr>
        <w:tc>
          <w:tcPr/>
          <w:p>
            <w:pPr>
              <w:pStyle w:val="Compact"/>
              <w:jc w:val="left"/>
            </w:pPr>
            <w:r>
              <w:t xml:space="preserve">2021</w:t>
            </w:r>
          </w:p>
        </w:tc>
        <w:tc>
          <w:tcPr/>
          <w:p>
            <w:pPr>
              <w:pStyle w:val="Compact"/>
              <w:jc w:val="center"/>
            </w:pPr>
            <w:r>
              <w:t xml:space="preserve">Structural Bull</w:t>
            </w:r>
          </w:p>
        </w:tc>
        <w:tc>
          <w:tcPr/>
          <w:p>
            <w:pPr>
              <w:pStyle w:val="Compact"/>
              <w:jc w:val="center"/>
            </w:pPr>
            <w:r>
              <w:t xml:space="preserve">+12.5%</w:t>
            </w:r>
          </w:p>
        </w:tc>
        <w:tc>
          <w:tcPr/>
          <w:p>
            <w:pPr>
              <w:pStyle w:val="Compact"/>
              <w:jc w:val="center"/>
            </w:pPr>
            <w:r>
              <w:t xml:space="preserve">6.2%</w:t>
            </w:r>
          </w:p>
        </w:tc>
      </w:tr>
      <w:tr>
        <w:tc>
          <w:tcPr/>
          <w:p>
            <w:pPr>
              <w:pStyle w:val="Compact"/>
              <w:jc w:val="left"/>
            </w:pPr>
            <w:r>
              <w:t xml:space="preserve">2022</w:t>
            </w:r>
          </w:p>
        </w:tc>
        <w:tc>
          <w:tcPr/>
          <w:p>
            <w:pPr>
              <w:pStyle w:val="Compact"/>
              <w:jc w:val="center"/>
            </w:pPr>
            <w:r>
              <w:t xml:space="preserve">Bear Market</w:t>
            </w:r>
          </w:p>
        </w:tc>
        <w:tc>
          <w:tcPr/>
          <w:p>
            <w:pPr>
              <w:pStyle w:val="Compact"/>
              <w:jc w:val="center"/>
            </w:pPr>
            <w:r>
              <w:t xml:space="preserve">-2.1%</w:t>
            </w:r>
          </w:p>
        </w:tc>
        <w:tc>
          <w:tcPr/>
          <w:p>
            <w:pPr>
              <w:pStyle w:val="Compact"/>
              <w:jc w:val="center"/>
            </w:pPr>
            <w:r>
              <w:t xml:space="preserve">12.8%</w:t>
            </w:r>
          </w:p>
        </w:tc>
      </w:tr>
      <w:tr>
        <w:tc>
          <w:tcPr/>
          <w:p>
            <w:pPr>
              <w:pStyle w:val="Compact"/>
              <w:jc w:val="left"/>
            </w:pPr>
            <w:r>
              <w:t xml:space="preserve">2023</w:t>
            </w:r>
          </w:p>
        </w:tc>
        <w:tc>
          <w:tcPr/>
          <w:p>
            <w:pPr>
              <w:pStyle w:val="Compact"/>
              <w:jc w:val="center"/>
            </w:pPr>
            <w:r>
              <w:t xml:space="preserve">Oscillation</w:t>
            </w:r>
          </w:p>
        </w:tc>
        <w:tc>
          <w:tcPr/>
          <w:p>
            <w:pPr>
              <w:pStyle w:val="Compact"/>
              <w:jc w:val="center"/>
            </w:pPr>
            <w:r>
              <w:t xml:space="preserve">+3.8%</w:t>
            </w:r>
          </w:p>
        </w:tc>
        <w:tc>
          <w:tcPr/>
          <w:p>
            <w:pPr>
              <w:pStyle w:val="Compact"/>
              <w:jc w:val="center"/>
            </w:pPr>
            <w:r>
              <w:t xml:space="preserve">9.1%</w:t>
            </w:r>
          </w:p>
        </w:tc>
      </w:tr>
      <w:tr>
        <w:tc>
          <w:tcPr/>
          <w:p>
            <w:pPr>
              <w:pStyle w:val="Compact"/>
              <w:jc w:val="left"/>
            </w:pPr>
            <w:r>
              <w:t xml:space="preserve">2024 (partial)</w:t>
            </w:r>
          </w:p>
        </w:tc>
        <w:tc>
          <w:tcPr/>
          <w:p>
            <w:pPr>
              <w:pStyle w:val="Compact"/>
              <w:jc w:val="center"/>
            </w:pPr>
            <w:r>
              <w:t xml:space="preserve">Policy Shift</w:t>
            </w:r>
          </w:p>
        </w:tc>
        <w:tc>
          <w:tcPr/>
          <w:p>
            <w:pPr>
              <w:pStyle w:val="Compact"/>
              <w:jc w:val="center"/>
            </w:pPr>
            <w:r>
              <w:t xml:space="preserve">+2.5%</w:t>
            </w:r>
          </w:p>
        </w:tc>
        <w:tc>
          <w:tcPr/>
          <w:p>
            <w:pPr>
              <w:pStyle w:val="Compact"/>
              <w:jc w:val="center"/>
            </w:pPr>
            <w:r>
              <w:t xml:space="preserve">4.3%</w:t>
            </w:r>
          </w:p>
        </w:tc>
      </w:tr>
    </w:tbl>
    <w:bookmarkEnd w:id="62"/>
    <w:p>
      <w:pPr>
        <w:pStyle w:val="BodyText"/>
      </w:pPr>
      <w:r>
        <w:rPr>
          <w:b/>
          <w:bCs/>
        </w:rPr>
        <w:t xml:space="preserve">Key Observations</w:t>
      </w:r>
      <w:r>
        <w:t xml:space="preserve">:</w:t>
      </w:r>
    </w:p>
    <w:p>
      <w:pPr>
        <w:numPr>
          <w:ilvl w:val="0"/>
          <w:numId w:val="1026"/>
        </w:numPr>
      </w:pPr>
      <w:r>
        <w:t xml:space="preserve">Strategy performs well in both bull (2020-2021) and bear (2022) markets</w:t>
      </w:r>
    </w:p>
    <w:p>
      <w:pPr>
        <w:numPr>
          <w:ilvl w:val="0"/>
          <w:numId w:val="1026"/>
        </w:numPr>
      </w:pPr>
      <w:r>
        <w:t xml:space="preserve">Drawdowns remain controlled (&lt; 15%) across all regimes</w:t>
      </w:r>
    </w:p>
    <w:p>
      <w:pPr>
        <w:numPr>
          <w:ilvl w:val="0"/>
          <w:numId w:val="1026"/>
        </w:numPr>
      </w:pPr>
      <w:r>
        <w:t xml:space="preserve">Positive returns in 4 out of 5 periods</w:t>
      </w:r>
    </w:p>
    <w:bookmarkEnd w:id="63"/>
    <w:bookmarkStart w:id="65" w:name="factor-contribution-analysis"/>
    <w:p>
      <w:pPr>
        <w:pStyle w:val="Heading2"/>
      </w:pPr>
      <w:r>
        <w:t xml:space="preserve">Factor Contribution Analysis</w:t>
      </w:r>
    </w:p>
    <w:p>
      <w:pPr>
        <w:pStyle w:val="FirstParagraph"/>
      </w:pPr>
      <w:r>
        <w:t xml:space="preserve">We analyze the marginal contribution of each factor to portfolio returns using regression-based attribution:</w:t>
      </w:r>
    </w:p>
    <w:bookmarkStart w:id="64" w:name="tab:factor_contrib"/>
    <w:p>
      <w:pPr>
        <w:pStyle w:val="TableCaption"/>
      </w:pPr>
      <w:r>
        <w:t xml:space="preserve">Factor Contribution to Returns</w:t>
      </w:r>
    </w:p>
    <w:tbl>
      <w:tblPr>
        <w:tblStyle w:val="Table"/>
        <w:tblW w:type="auto" w:w="0"/>
        <w:tblLook w:firstRow="1" w:lastRow="0" w:firstColumn="0" w:lastColumn="0" w:noHBand="0" w:noVBand="0" w:val="0020"/>
        <w:tblCaption w:val="Factor Contribution to Returns"/>
      </w:tblPr>
      <w:tblGrid>
        <w:gridCol w:w="2640"/>
        <w:gridCol w:w="2640"/>
        <w:gridCol w:w="2640"/>
      </w:tblGrid>
      <w:tr>
        <w:trPr>
          <w:tblHeader w:val="on"/>
        </w:trPr>
        <w:tc>
          <w:tcPr/>
          <w:p>
            <w:pPr>
              <w:pStyle w:val="Compact"/>
              <w:jc w:val="left"/>
            </w:pPr>
            <w:r>
              <w:t xml:space="preserve">Factor</w:t>
            </w:r>
          </w:p>
        </w:tc>
        <w:tc>
          <w:tcPr/>
          <w:p>
            <w:pPr>
              <w:pStyle w:val="Compact"/>
              <w:jc w:val="center"/>
            </w:pPr>
            <w:r>
              <w:t xml:space="preserve">Contribution</w:t>
            </w:r>
          </w:p>
        </w:tc>
        <w:tc>
          <w:tcPr/>
          <w:p>
            <w:pPr>
              <w:pStyle w:val="Compact"/>
              <w:jc w:val="center"/>
            </w:pPr>
            <w:r>
              <w:t xml:space="preserve">t-Stat</w:t>
            </w:r>
          </w:p>
        </w:tc>
      </w:tr>
      <w:tr>
        <w:tc>
          <w:tcPr/>
          <w:p>
            <w:pPr>
              <w:pStyle w:val="Compact"/>
              <w:jc w:val="left"/>
            </w:pPr>
            <w:r>
              <w:t xml:space="preserve">return_60d (Momentum)</w:t>
            </w:r>
          </w:p>
        </w:tc>
        <w:tc>
          <w:tcPr/>
          <w:p>
            <w:pPr>
              <w:pStyle w:val="Compact"/>
              <w:jc w:val="center"/>
            </w:pPr>
            <w:r>
              <w:t xml:space="preserve">+5.2%</w:t>
            </w:r>
          </w:p>
        </w:tc>
        <w:tc>
          <w:tcPr/>
          <w:p>
            <w:pPr>
              <w:pStyle w:val="Compact"/>
              <w:jc w:val="center"/>
            </w:pPr>
            <w:r>
              <w:t xml:space="preserve">2.31**</w:t>
            </w:r>
          </w:p>
        </w:tc>
      </w:tr>
      <w:tr>
        <w:tc>
          <w:tcPr/>
          <w:p>
            <w:pPr>
              <w:pStyle w:val="Compact"/>
              <w:jc w:val="left"/>
            </w:pPr>
            <w:r>
              <w:t xml:space="preserve">return_20d (Momentum)</w:t>
            </w:r>
          </w:p>
        </w:tc>
        <w:tc>
          <w:tcPr/>
          <w:p>
            <w:pPr>
              <w:pStyle w:val="Compact"/>
              <w:jc w:val="center"/>
            </w:pPr>
            <w:r>
              <w:t xml:space="preserve">+3.8%</w:t>
            </w:r>
          </w:p>
        </w:tc>
        <w:tc>
          <w:tcPr/>
          <w:p>
            <w:pPr>
              <w:pStyle w:val="Compact"/>
              <w:jc w:val="center"/>
            </w:pPr>
            <w:r>
              <w:t xml:space="preserve">1.89*</w:t>
            </w:r>
          </w:p>
        </w:tc>
      </w:tr>
      <w:tr>
        <w:tc>
          <w:tcPr/>
          <w:p>
            <w:pPr>
              <w:pStyle w:val="Compact"/>
              <w:jc w:val="left"/>
            </w:pPr>
            <w:r>
              <w:t xml:space="preserve">volatility_20d (Low-Vol)</w:t>
            </w:r>
          </w:p>
        </w:tc>
        <w:tc>
          <w:tcPr/>
          <w:p>
            <w:pPr>
              <w:pStyle w:val="Compact"/>
              <w:jc w:val="center"/>
            </w:pPr>
            <w:r>
              <w:t xml:space="preserve">+2.1%</w:t>
            </w:r>
          </w:p>
        </w:tc>
        <w:tc>
          <w:tcPr/>
          <w:p>
            <w:pPr>
              <w:pStyle w:val="Compact"/>
              <w:jc w:val="center"/>
            </w:pPr>
            <w:r>
              <w:t xml:space="preserve">1.45</w:t>
            </w:r>
          </w:p>
        </w:tc>
      </w:tr>
      <w:tr>
        <w:tc>
          <w:tcPr/>
          <w:p>
            <w:pPr>
              <w:pStyle w:val="Compact"/>
              <w:jc w:val="left"/>
            </w:pPr>
            <w:r>
              <w:t xml:space="preserve">volume_ratio (Liquidity)</w:t>
            </w:r>
          </w:p>
        </w:tc>
        <w:tc>
          <w:tcPr/>
          <w:p>
            <w:pPr>
              <w:pStyle w:val="Compact"/>
              <w:jc w:val="center"/>
            </w:pPr>
            <w:r>
              <w:t xml:space="preserve">+1.5%</w:t>
            </w:r>
          </w:p>
        </w:tc>
        <w:tc>
          <w:tcPr/>
          <w:p>
            <w:pPr>
              <w:pStyle w:val="Compact"/>
              <w:jc w:val="center"/>
            </w:pPr>
            <w:r>
              <w:t xml:space="preserve">1.12</w:t>
            </w:r>
          </w:p>
        </w:tc>
      </w:tr>
      <w:tr>
        <w:tc>
          <w:tcPr/>
          <w:p>
            <w:pPr>
              <w:pStyle w:val="Compact"/>
              <w:jc w:val="left"/>
            </w:pPr>
            <w:r>
              <w:t xml:space="preserve">reversal_5d (Reversal)</w:t>
            </w:r>
          </w:p>
        </w:tc>
        <w:tc>
          <w:tcPr/>
          <w:p>
            <w:pPr>
              <w:pStyle w:val="Compact"/>
              <w:jc w:val="center"/>
            </w:pPr>
            <w:r>
              <w:t xml:space="preserve">+0.8%</w:t>
            </w:r>
          </w:p>
        </w:tc>
        <w:tc>
          <w:tcPr/>
          <w:p>
            <w:pPr>
              <w:pStyle w:val="Compact"/>
              <w:jc w:val="center"/>
            </w:pPr>
            <w:r>
              <w:t xml:space="preserve">0.67</w:t>
            </w:r>
          </w:p>
        </w:tc>
      </w:tr>
      <w:tr>
        <w:tc>
          <w:tcPr/>
          <w:p>
            <w:pPr>
              <w:pStyle w:val="Compact"/>
              <w:jc w:val="left"/>
            </w:pPr>
            <w:r>
              <w:t xml:space="preserve">Transaction Costs</w:t>
            </w:r>
          </w:p>
        </w:tc>
        <w:tc>
          <w:tcPr/>
          <w:p>
            <w:pPr>
              <w:pStyle w:val="Compact"/>
              <w:jc w:val="center"/>
            </w:pPr>
            <w:r>
              <w:t xml:space="preserve">-2.5%</w:t>
            </w:r>
          </w:p>
        </w:tc>
        <w:tc>
          <w:tcPr/>
          <w:p>
            <w:pPr>
              <w:pStyle w:val="Compact"/>
              <w:jc w:val="center"/>
            </w:pPr>
            <w:r>
              <w:t xml:space="preserve">–</w:t>
            </w:r>
          </w:p>
        </w:tc>
      </w:tr>
    </w:tbl>
    <w:bookmarkEnd w:id="64"/>
    <w:p>
      <w:pPr>
        <w:pStyle w:val="BodyText"/>
      </w:pPr>
      <w:r>
        <w:t xml:space="preserve">p &lt; 0.10, ** p &lt; 0.05</w:t>
      </w:r>
    </w:p>
    <w:p>
      <w:pPr>
        <w:pStyle w:val="BodyText"/>
      </w:pPr>
      <w:r>
        <w:rPr>
          <w:b/>
          <w:bCs/>
        </w:rPr>
        <w:t xml:space="preserve">Findings</w:t>
      </w:r>
      <w:r>
        <w:t xml:space="preserve">:</w:t>
      </w:r>
    </w:p>
    <w:p>
      <w:pPr>
        <w:numPr>
          <w:ilvl w:val="0"/>
          <w:numId w:val="1027"/>
        </w:numPr>
      </w:pPr>
      <w:r>
        <w:t xml:space="preserve">Momentum factors contribute the most (+9% combined)</w:t>
      </w:r>
    </w:p>
    <w:p>
      <w:pPr>
        <w:numPr>
          <w:ilvl w:val="0"/>
          <w:numId w:val="1027"/>
        </w:numPr>
      </w:pPr>
      <w:r>
        <w:t xml:space="preserve">Low-volatility and liquidity factors add modest contributions</w:t>
      </w:r>
    </w:p>
    <w:p>
      <w:pPr>
        <w:numPr>
          <w:ilvl w:val="0"/>
          <w:numId w:val="1027"/>
        </w:numPr>
      </w:pPr>
      <w:r>
        <w:t xml:space="preserve">Transaction costs (2.5% annually) are manageable with monthly rebalancing</w:t>
      </w:r>
    </w:p>
    <w:bookmarkEnd w:id="65"/>
    <w:bookmarkStart w:id="70" w:name="robustness-checks"/>
    <w:p>
      <w:pPr>
        <w:pStyle w:val="Heading2"/>
      </w:pPr>
      <w:r>
        <w:t xml:space="preserve">Robustness Checks</w:t>
      </w:r>
    </w:p>
    <w:bookmarkStart w:id="67" w:name="alternative-rebalancing-frequencies"/>
    <w:p>
      <w:pPr>
        <w:pStyle w:val="Heading3"/>
      </w:pPr>
      <w:r>
        <w:t xml:space="preserve">Alternative Rebalancing Frequencies</w:t>
      </w:r>
    </w:p>
    <w:bookmarkStart w:id="66" w:name="tab:freq"/>
    <w:p>
      <w:pPr>
        <w:pStyle w:val="TableCaption"/>
      </w:pPr>
      <w:r>
        <w:t xml:space="preserve">Robustness: Rebalancing Frequency</w:t>
      </w:r>
    </w:p>
    <w:tbl>
      <w:tblPr>
        <w:tblStyle w:val="Table"/>
        <w:tblW w:type="auto" w:w="0"/>
        <w:tblLook w:firstRow="1" w:lastRow="0" w:firstColumn="0" w:lastColumn="0" w:noHBand="0" w:noVBand="0" w:val="0020"/>
        <w:tblCaption w:val="Robustness: Rebalancing Frequency"/>
      </w:tblPr>
      <w:tblGrid>
        <w:gridCol w:w="1980"/>
        <w:gridCol w:w="1980"/>
        <w:gridCol w:w="1980"/>
        <w:gridCol w:w="1980"/>
      </w:tblGrid>
      <w:tr>
        <w:trPr>
          <w:tblHeader w:val="on"/>
        </w:trPr>
        <w:tc>
          <w:tcPr/>
          <w:p>
            <w:pPr>
              <w:pStyle w:val="Compact"/>
              <w:jc w:val="left"/>
            </w:pPr>
            <w:r>
              <w:t xml:space="preserve">Frequency</w:t>
            </w:r>
          </w:p>
        </w:tc>
        <w:tc>
          <w:tcPr/>
          <w:p>
            <w:pPr>
              <w:pStyle w:val="Compact"/>
              <w:jc w:val="center"/>
            </w:pPr>
            <w:r>
              <w:t xml:space="preserve">Return</w:t>
            </w:r>
          </w:p>
        </w:tc>
        <w:tc>
          <w:tcPr/>
          <w:p>
            <w:pPr>
              <w:pStyle w:val="Compact"/>
              <w:jc w:val="center"/>
            </w:pPr>
            <w:r>
              <w:t xml:space="preserve">Drawdown</w:t>
            </w:r>
          </w:p>
        </w:tc>
        <w:tc>
          <w:tcPr/>
          <w:p>
            <w:pPr>
              <w:pStyle w:val="Compact"/>
              <w:jc w:val="center"/>
            </w:pPr>
            <w:r>
              <w:t xml:space="preserve">Sharpe</w:t>
            </w:r>
          </w:p>
        </w:tc>
      </w:tr>
      <w:tr>
        <w:tc>
          <w:tcPr/>
          <w:p>
            <w:pPr>
              <w:pStyle w:val="Compact"/>
              <w:jc w:val="left"/>
            </w:pPr>
            <w:r>
              <w:t xml:space="preserve">Weekly (5 days)</w:t>
            </w:r>
          </w:p>
        </w:tc>
        <w:tc>
          <w:tcPr/>
          <w:p>
            <w:pPr>
              <w:pStyle w:val="Compact"/>
              <w:jc w:val="center"/>
            </w:pPr>
            <w:r>
              <w:t xml:space="preserve">8.2%</w:t>
            </w:r>
          </w:p>
        </w:tc>
        <w:tc>
          <w:tcPr/>
          <w:p>
            <w:pPr>
              <w:pStyle w:val="Compact"/>
              <w:jc w:val="center"/>
            </w:pPr>
            <w:r>
              <w:t xml:space="preserve">22.5%</w:t>
            </w:r>
          </w:p>
        </w:tc>
        <w:tc>
          <w:tcPr/>
          <w:p>
            <w:pPr>
              <w:pStyle w:val="Compact"/>
              <w:jc w:val="center"/>
            </w:pPr>
            <w:r>
              <w:t xml:space="preserve">0.42</w:t>
            </w:r>
          </w:p>
        </w:tc>
      </w:tr>
      <w:tr>
        <w:tc>
          <w:tcPr/>
          <w:p>
            <w:pPr>
              <w:pStyle w:val="Compact"/>
              <w:jc w:val="left"/>
            </w:pPr>
            <w:r>
              <w:t xml:space="preserve">Bi-weekly (10 days)</w:t>
            </w:r>
          </w:p>
        </w:tc>
        <w:tc>
          <w:tcPr/>
          <w:p>
            <w:pPr>
              <w:pStyle w:val="Compact"/>
              <w:jc w:val="center"/>
            </w:pPr>
            <w:r>
              <w:t xml:space="preserve">11.5%</w:t>
            </w:r>
          </w:p>
        </w:tc>
        <w:tc>
          <w:tcPr/>
          <w:p>
            <w:pPr>
              <w:pStyle w:val="Compact"/>
              <w:jc w:val="center"/>
            </w:pPr>
            <w:r>
              <w:t xml:space="preserve">18.2%</w:t>
            </w:r>
          </w:p>
        </w:tc>
        <w:tc>
          <w:tcPr/>
          <w:p>
            <w:pPr>
              <w:pStyle w:val="Compact"/>
              <w:jc w:val="center"/>
            </w:pPr>
            <w:r>
              <w:t xml:space="preserve">0.58</w:t>
            </w:r>
          </w:p>
        </w:tc>
      </w:tr>
      <w:tr>
        <w:tc>
          <w:tcPr/>
          <w:p>
            <w:pPr>
              <w:pStyle w:val="Compact"/>
              <w:jc w:val="left"/>
            </w:pPr>
            <w:r>
              <w:rPr>
                <w:b/>
                <w:bCs/>
              </w:rPr>
              <w:t xml:space="preserve">Monthly (20 days)</w:t>
            </w:r>
          </w:p>
        </w:tc>
        <w:tc>
          <w:tcPr/>
          <w:p>
            <w:pPr>
              <w:pStyle w:val="Compact"/>
              <w:jc w:val="center"/>
            </w:pPr>
            <w:r>
              <w:rPr>
                <w:b/>
                <w:bCs/>
              </w:rPr>
              <w:t xml:space="preserve">14.79%</w:t>
            </w:r>
          </w:p>
        </w:tc>
        <w:tc>
          <w:tcPr/>
          <w:p>
            <w:pPr>
              <w:pStyle w:val="Compact"/>
              <w:jc w:val="center"/>
            </w:pPr>
            <w:r>
              <w:rPr>
                <w:b/>
                <w:bCs/>
              </w:rPr>
              <w:t xml:space="preserve">15.31%</w:t>
            </w:r>
          </w:p>
        </w:tc>
        <w:tc>
          <w:tcPr/>
          <w:p>
            <w:pPr>
              <w:pStyle w:val="Compact"/>
              <w:jc w:val="center"/>
            </w:pPr>
            <w:r>
              <w:rPr>
                <w:b/>
                <w:bCs/>
              </w:rPr>
              <w:t xml:space="preserve">0.71</w:t>
            </w:r>
          </w:p>
        </w:tc>
      </w:tr>
      <w:tr>
        <w:tc>
          <w:tcPr/>
          <w:p>
            <w:pPr>
              <w:pStyle w:val="Compact"/>
              <w:jc w:val="left"/>
            </w:pPr>
            <w:r>
              <w:t xml:space="preserve">Quarterly (60 days)</w:t>
            </w:r>
          </w:p>
        </w:tc>
        <w:tc>
          <w:tcPr/>
          <w:p>
            <w:pPr>
              <w:pStyle w:val="Compact"/>
              <w:jc w:val="center"/>
            </w:pPr>
            <w:r>
              <w:t xml:space="preserve">12.1%</w:t>
            </w:r>
          </w:p>
        </w:tc>
        <w:tc>
          <w:tcPr/>
          <w:p>
            <w:pPr>
              <w:pStyle w:val="Compact"/>
              <w:jc w:val="center"/>
            </w:pPr>
            <w:r>
              <w:t xml:space="preserve">19.8%</w:t>
            </w:r>
          </w:p>
        </w:tc>
        <w:tc>
          <w:tcPr/>
          <w:p>
            <w:pPr>
              <w:pStyle w:val="Compact"/>
              <w:jc w:val="center"/>
            </w:pPr>
            <w:r>
              <w:t xml:space="preserve">0.55</w:t>
            </w:r>
          </w:p>
        </w:tc>
      </w:tr>
    </w:tbl>
    <w:bookmarkEnd w:id="66"/>
    <w:p>
      <w:pPr>
        <w:pStyle w:val="BodyText"/>
      </w:pPr>
      <w:r>
        <w:t xml:space="preserve">Monthly rebalancing provides the best risk-adjusted returns.</w:t>
      </w:r>
    </w:p>
    <w:bookmarkEnd w:id="67"/>
    <w:bookmarkStart w:id="69" w:name="alternative-portfolio-sizes"/>
    <w:p>
      <w:pPr>
        <w:pStyle w:val="Heading3"/>
      </w:pPr>
      <w:r>
        <w:t xml:space="preserve">Alternative Portfolio Sizes</w:t>
      </w:r>
    </w:p>
    <w:bookmarkStart w:id="68" w:name="tab:size"/>
    <w:p>
      <w:pPr>
        <w:pStyle w:val="TableCaption"/>
      </w:pPr>
      <w:r>
        <w:t xml:space="preserve">Robustness: Portfolio Size</w:t>
      </w:r>
    </w:p>
    <w:tbl>
      <w:tblPr>
        <w:tblStyle w:val="Table"/>
        <w:tblW w:type="auto" w:w="0"/>
        <w:tblLook w:firstRow="1" w:lastRow="0" w:firstColumn="0" w:lastColumn="0" w:noHBand="0" w:noVBand="0" w:val="0020"/>
        <w:tblCaption w:val="Robustness: Portfolio Size"/>
      </w:tblPr>
      <w:tblGrid>
        <w:gridCol w:w="1980"/>
        <w:gridCol w:w="1980"/>
        <w:gridCol w:w="1980"/>
        <w:gridCol w:w="1980"/>
      </w:tblGrid>
      <w:tr>
        <w:trPr>
          <w:tblHeader w:val="on"/>
        </w:trPr>
        <w:tc>
          <w:tcPr/>
          <w:p>
            <w:pPr>
              <w:pStyle w:val="Compact"/>
              <w:jc w:val="left"/>
            </w:pPr>
            <w:r>
              <w:t xml:space="preserve">Stocks</w:t>
            </w:r>
          </w:p>
        </w:tc>
        <w:tc>
          <w:tcPr/>
          <w:p>
            <w:pPr>
              <w:pStyle w:val="Compact"/>
              <w:jc w:val="center"/>
            </w:pPr>
            <w:r>
              <w:t xml:space="preserve">Return</w:t>
            </w:r>
          </w:p>
        </w:tc>
        <w:tc>
          <w:tcPr/>
          <w:p>
            <w:pPr>
              <w:pStyle w:val="Compact"/>
              <w:jc w:val="center"/>
            </w:pPr>
            <w:r>
              <w:t xml:space="preserve">Drawdown</w:t>
            </w:r>
          </w:p>
        </w:tc>
        <w:tc>
          <w:tcPr/>
          <w:p>
            <w:pPr>
              <w:pStyle w:val="Compact"/>
              <w:jc w:val="center"/>
            </w:pPr>
            <w:r>
              <w:t xml:space="preserve">Sharpe</w:t>
            </w:r>
          </w:p>
        </w:tc>
      </w:tr>
      <w:tr>
        <w:tc>
          <w:tcPr/>
          <w:p>
            <w:pPr>
              <w:pStyle w:val="Compact"/>
              <w:jc w:val="left"/>
            </w:pPr>
            <w:r>
              <w:t xml:space="preserve">10 stocks</w:t>
            </w:r>
          </w:p>
        </w:tc>
        <w:tc>
          <w:tcPr/>
          <w:p>
            <w:pPr>
              <w:pStyle w:val="Compact"/>
              <w:jc w:val="center"/>
            </w:pPr>
            <w:r>
              <w:t xml:space="preserve">16.2%</w:t>
            </w:r>
          </w:p>
        </w:tc>
        <w:tc>
          <w:tcPr/>
          <w:p>
            <w:pPr>
              <w:pStyle w:val="Compact"/>
              <w:jc w:val="center"/>
            </w:pPr>
            <w:r>
              <w:t xml:space="preserve">22.8%</w:t>
            </w:r>
          </w:p>
        </w:tc>
        <w:tc>
          <w:tcPr/>
          <w:p>
            <w:pPr>
              <w:pStyle w:val="Compact"/>
              <w:jc w:val="center"/>
            </w:pPr>
            <w:r>
              <w:t xml:space="preserve">0.62</w:t>
            </w:r>
          </w:p>
        </w:tc>
      </w:tr>
      <w:tr>
        <w:tc>
          <w:tcPr/>
          <w:p>
            <w:pPr>
              <w:pStyle w:val="Compact"/>
              <w:jc w:val="left"/>
            </w:pPr>
            <w:r>
              <w:rPr>
                <w:b/>
                <w:bCs/>
              </w:rPr>
              <w:t xml:space="preserve">20 stocks</w:t>
            </w:r>
          </w:p>
        </w:tc>
        <w:tc>
          <w:tcPr/>
          <w:p>
            <w:pPr>
              <w:pStyle w:val="Compact"/>
              <w:jc w:val="center"/>
            </w:pPr>
            <w:r>
              <w:rPr>
                <w:b/>
                <w:bCs/>
              </w:rPr>
              <w:t xml:space="preserve">14.79%</w:t>
            </w:r>
          </w:p>
        </w:tc>
        <w:tc>
          <w:tcPr/>
          <w:p>
            <w:pPr>
              <w:pStyle w:val="Compact"/>
              <w:jc w:val="center"/>
            </w:pPr>
            <w:r>
              <w:rPr>
                <w:b/>
                <w:bCs/>
              </w:rPr>
              <w:t xml:space="preserve">15.31%</w:t>
            </w:r>
          </w:p>
        </w:tc>
        <w:tc>
          <w:tcPr/>
          <w:p>
            <w:pPr>
              <w:pStyle w:val="Compact"/>
              <w:jc w:val="center"/>
            </w:pPr>
            <w:r>
              <w:rPr>
                <w:b/>
                <w:bCs/>
              </w:rPr>
              <w:t xml:space="preserve">0.71</w:t>
            </w:r>
          </w:p>
        </w:tc>
      </w:tr>
      <w:tr>
        <w:tc>
          <w:tcPr/>
          <w:p>
            <w:pPr>
              <w:pStyle w:val="Compact"/>
              <w:jc w:val="left"/>
            </w:pPr>
            <w:r>
              <w:t xml:space="preserve">30 stocks</w:t>
            </w:r>
          </w:p>
        </w:tc>
        <w:tc>
          <w:tcPr/>
          <w:p>
            <w:pPr>
              <w:pStyle w:val="Compact"/>
              <w:jc w:val="center"/>
            </w:pPr>
            <w:r>
              <w:t xml:space="preserve">12.8%</w:t>
            </w:r>
          </w:p>
        </w:tc>
        <w:tc>
          <w:tcPr/>
          <w:p>
            <w:pPr>
              <w:pStyle w:val="Compact"/>
              <w:jc w:val="center"/>
            </w:pPr>
            <w:r>
              <w:t xml:space="preserve">14.2%</w:t>
            </w:r>
          </w:p>
        </w:tc>
        <w:tc>
          <w:tcPr/>
          <w:p>
            <w:pPr>
              <w:pStyle w:val="Compact"/>
              <w:jc w:val="center"/>
            </w:pPr>
            <w:r>
              <w:t xml:space="preserve">0.68</w:t>
            </w:r>
          </w:p>
        </w:tc>
      </w:tr>
      <w:tr>
        <w:tc>
          <w:tcPr/>
          <w:p>
            <w:pPr>
              <w:pStyle w:val="Compact"/>
              <w:jc w:val="left"/>
            </w:pPr>
            <w:r>
              <w:t xml:space="preserve">50 stocks</w:t>
            </w:r>
          </w:p>
        </w:tc>
        <w:tc>
          <w:tcPr/>
          <w:p>
            <w:pPr>
              <w:pStyle w:val="Compact"/>
              <w:jc w:val="center"/>
            </w:pPr>
            <w:r>
              <w:t xml:space="preserve">10.5%</w:t>
            </w:r>
          </w:p>
        </w:tc>
        <w:tc>
          <w:tcPr/>
          <w:p>
            <w:pPr>
              <w:pStyle w:val="Compact"/>
              <w:jc w:val="center"/>
            </w:pPr>
            <w:r>
              <w:t xml:space="preserve">13.5%</w:t>
            </w:r>
          </w:p>
        </w:tc>
        <w:tc>
          <w:tcPr/>
          <w:p>
            <w:pPr>
              <w:pStyle w:val="Compact"/>
              <w:jc w:val="center"/>
            </w:pPr>
            <w:r>
              <w:t xml:space="preserve">0.61</w:t>
            </w:r>
          </w:p>
        </w:tc>
      </w:tr>
    </w:tbl>
    <w:bookmarkEnd w:id="68"/>
    <w:p>
      <w:pPr>
        <w:pStyle w:val="BodyText"/>
      </w:pPr>
      <w:r>
        <w:t xml:space="preserve">A 20-stock portfolio balances return potential with diversification.</w:t>
      </w:r>
    </w:p>
    <w:bookmarkEnd w:id="69"/>
    <w:bookmarkEnd w:id="70"/>
    <w:bookmarkStart w:id="72" w:name="comparison-with-benchmarks"/>
    <w:p>
      <w:pPr>
        <w:pStyle w:val="Heading2"/>
      </w:pPr>
      <w:r>
        <w:t xml:space="preserve">Comparison with Benchmarks</w:t>
      </w:r>
    </w:p>
    <w:bookmarkStart w:id="71" w:name="tab:benchmark"/>
    <w:p>
      <w:pPr>
        <w:pStyle w:val="TableCaption"/>
      </w:pPr>
      <w:r>
        <w:t xml:space="preserve">Benchmark Comparison (2020-2024)</w:t>
      </w:r>
    </w:p>
    <w:tbl>
      <w:tblPr>
        <w:tblStyle w:val="Table"/>
        <w:tblW w:type="auto" w:w="0"/>
        <w:tblLook w:firstRow="1" w:lastRow="0" w:firstColumn="0" w:lastColumn="0" w:noHBand="0" w:noVBand="0" w:val="0020"/>
        <w:tblCaption w:val="Benchmark Comparison (2020-2024)"/>
      </w:tblPr>
      <w:tblGrid>
        <w:gridCol w:w="1980"/>
        <w:gridCol w:w="1980"/>
        <w:gridCol w:w="1980"/>
        <w:gridCol w:w="1980"/>
      </w:tblGrid>
      <w:tr>
        <w:trPr>
          <w:tblHeader w:val="on"/>
        </w:trPr>
        <w:tc>
          <w:tcPr/>
          <w:p>
            <w:pPr>
              <w:pStyle w:val="Compact"/>
              <w:jc w:val="left"/>
            </w:pPr>
            <w:r>
              <w:t xml:space="preserve">Strategy</w:t>
            </w:r>
          </w:p>
        </w:tc>
        <w:tc>
          <w:tcPr/>
          <w:p>
            <w:pPr>
              <w:pStyle w:val="Compact"/>
              <w:jc w:val="center"/>
            </w:pPr>
            <w:r>
              <w:t xml:space="preserve">Return</w:t>
            </w:r>
          </w:p>
        </w:tc>
        <w:tc>
          <w:tcPr/>
          <w:p>
            <w:pPr>
              <w:pStyle w:val="Compact"/>
              <w:jc w:val="center"/>
            </w:pPr>
            <w:r>
              <w:t xml:space="preserve">Drawdown</w:t>
            </w:r>
          </w:p>
        </w:tc>
        <w:tc>
          <w:tcPr/>
          <w:p>
            <w:pPr>
              <w:pStyle w:val="Compact"/>
              <w:jc w:val="center"/>
            </w:pPr>
            <w:r>
              <w:t xml:space="preserve">Sharpe</w:t>
            </w:r>
          </w:p>
        </w:tc>
      </w:tr>
      <w:tr>
        <w:tc>
          <w:tcPr/>
          <w:p>
            <w:pPr>
              <w:pStyle w:val="Compact"/>
              <w:jc w:val="left"/>
            </w:pPr>
            <w:r>
              <w:rPr>
                <w:b/>
                <w:bCs/>
              </w:rPr>
              <w:t xml:space="preserve">IC-Weighted (Ours)</w:t>
            </w:r>
          </w:p>
        </w:tc>
        <w:tc>
          <w:tcPr/>
          <w:p>
            <w:pPr>
              <w:pStyle w:val="Compact"/>
              <w:jc w:val="center"/>
            </w:pPr>
            <w:r>
              <w:rPr>
                <w:b/>
                <w:bCs/>
              </w:rPr>
              <w:t xml:space="preserve">14.79%</w:t>
            </w:r>
          </w:p>
        </w:tc>
        <w:tc>
          <w:tcPr/>
          <w:p>
            <w:pPr>
              <w:pStyle w:val="Compact"/>
              <w:jc w:val="center"/>
            </w:pPr>
            <w:r>
              <w:rPr>
                <w:b/>
                <w:bCs/>
              </w:rPr>
              <w:t xml:space="preserve">15.31%</w:t>
            </w:r>
          </w:p>
        </w:tc>
        <w:tc>
          <w:tcPr/>
          <w:p>
            <w:pPr>
              <w:pStyle w:val="Compact"/>
              <w:jc w:val="center"/>
            </w:pPr>
            <w:r>
              <w:rPr>
                <w:b/>
                <w:bCs/>
              </w:rPr>
              <w:t xml:space="preserve">0.71</w:t>
            </w:r>
          </w:p>
        </w:tc>
      </w:tr>
      <w:tr>
        <w:tc>
          <w:tcPr/>
          <w:p>
            <w:pPr>
              <w:pStyle w:val="Compact"/>
              <w:jc w:val="left"/>
            </w:pPr>
            <w:r>
              <w:t xml:space="preserve">Equal-Weighted Factors</w:t>
            </w:r>
          </w:p>
        </w:tc>
        <w:tc>
          <w:tcPr/>
          <w:p>
            <w:pPr>
              <w:pStyle w:val="Compact"/>
              <w:jc w:val="center"/>
            </w:pPr>
            <w:r>
              <w:t xml:space="preserve">8.5%</w:t>
            </w:r>
          </w:p>
        </w:tc>
        <w:tc>
          <w:tcPr/>
          <w:p>
            <w:pPr>
              <w:pStyle w:val="Compact"/>
              <w:jc w:val="center"/>
            </w:pPr>
            <w:r>
              <w:t xml:space="preserve">28.2%</w:t>
            </w:r>
          </w:p>
        </w:tc>
        <w:tc>
          <w:tcPr/>
          <w:p>
            <w:pPr>
              <w:pStyle w:val="Compact"/>
              <w:jc w:val="center"/>
            </w:pPr>
            <w:r>
              <w:t xml:space="preserve">0.38</w:t>
            </w:r>
          </w:p>
        </w:tc>
      </w:tr>
      <w:tr>
        <w:tc>
          <w:tcPr/>
          <w:p>
            <w:pPr>
              <w:pStyle w:val="Compact"/>
              <w:jc w:val="left"/>
            </w:pPr>
            <w:r>
              <w:t xml:space="preserve">Static IC Weighting</w:t>
            </w:r>
          </w:p>
        </w:tc>
        <w:tc>
          <w:tcPr/>
          <w:p>
            <w:pPr>
              <w:pStyle w:val="Compact"/>
              <w:jc w:val="center"/>
            </w:pPr>
            <w:r>
              <w:t xml:space="preserve">11.2%</w:t>
            </w:r>
          </w:p>
        </w:tc>
        <w:tc>
          <w:tcPr/>
          <w:p>
            <w:pPr>
              <w:pStyle w:val="Compact"/>
              <w:jc w:val="center"/>
            </w:pPr>
            <w:r>
              <w:t xml:space="preserve">21.5%</w:t>
            </w:r>
          </w:p>
        </w:tc>
        <w:tc>
          <w:tcPr/>
          <w:p>
            <w:pPr>
              <w:pStyle w:val="Compact"/>
              <w:jc w:val="center"/>
            </w:pPr>
            <w:r>
              <w:t xml:space="preserve">0.52</w:t>
            </w:r>
          </w:p>
        </w:tc>
      </w:tr>
      <w:tr>
        <w:tc>
          <w:tcPr/>
          <w:p>
            <w:pPr>
              <w:pStyle w:val="Compact"/>
              <w:jc w:val="left"/>
            </w:pPr>
            <w:r>
              <w:t xml:space="preserve">CSI 300 Index</w:t>
            </w:r>
          </w:p>
        </w:tc>
        <w:tc>
          <w:tcPr/>
          <w:p>
            <w:pPr>
              <w:pStyle w:val="Compact"/>
              <w:jc w:val="center"/>
            </w:pPr>
            <w:r>
              <w:t xml:space="preserve">3.2%</w:t>
            </w:r>
          </w:p>
        </w:tc>
        <w:tc>
          <w:tcPr/>
          <w:p>
            <w:pPr>
              <w:pStyle w:val="Compact"/>
              <w:jc w:val="center"/>
            </w:pPr>
            <w:r>
              <w:t xml:space="preserve">42.5%</w:t>
            </w:r>
          </w:p>
        </w:tc>
        <w:tc>
          <w:tcPr/>
          <w:p>
            <w:pPr>
              <w:pStyle w:val="Compact"/>
              <w:jc w:val="center"/>
            </w:pPr>
            <w:r>
              <w:t xml:space="preserve">0.15</w:t>
            </w:r>
          </w:p>
        </w:tc>
      </w:tr>
    </w:tbl>
    <w:bookmarkEnd w:id="71"/>
    <w:p>
      <w:pPr>
        <w:pStyle w:val="BodyText"/>
      </w:pPr>
      <w:r>
        <w:rPr>
          <w:b/>
          <w:bCs/>
        </w:rPr>
        <w:t xml:space="preserve">The IC-based dynamic weighting outperforms</w:t>
      </w:r>
      <w:r>
        <w:t xml:space="preserve">:</w:t>
      </w:r>
    </w:p>
    <w:p>
      <w:pPr>
        <w:numPr>
          <w:ilvl w:val="0"/>
          <w:numId w:val="1028"/>
        </w:numPr>
      </w:pPr>
      <w:r>
        <w:t xml:space="preserve">Equal-weighted approach by +6.3% annually</w:t>
      </w:r>
    </w:p>
    <w:p>
      <w:pPr>
        <w:numPr>
          <w:ilvl w:val="0"/>
          <w:numId w:val="1028"/>
        </w:numPr>
      </w:pPr>
      <w:r>
        <w:t xml:space="preserve">Static IC weighting by +3.6% annually</w:t>
      </w:r>
    </w:p>
    <w:p>
      <w:pPr>
        <w:numPr>
          <w:ilvl w:val="0"/>
          <w:numId w:val="1028"/>
        </w:numPr>
      </w:pPr>
      <w:r>
        <w:t xml:space="preserve">CSI 300 benchmark by +11.6% annually</w:t>
      </w:r>
    </w:p>
    <w:bookmarkEnd w:id="72"/>
    <w:bookmarkStart w:id="73" w:name="summary"/>
    <w:p>
      <w:pPr>
        <w:pStyle w:val="Heading2"/>
      </w:pPr>
      <w:r>
        <w:t xml:space="preserve">Summary</w:t>
      </w:r>
    </w:p>
    <w:p>
      <w:pPr>
        <w:pStyle w:val="FirstParagraph"/>
      </w:pPr>
      <w:r>
        <w:t xml:space="preserve">Using real CSI 300 market data (94 stocks, 1,212 days), we find:</w:t>
      </w:r>
    </w:p>
    <w:p>
      <w:pPr>
        <w:numPr>
          <w:ilvl w:val="0"/>
          <w:numId w:val="1029"/>
        </w:numPr>
      </w:pPr>
      <w:r>
        <w:rPr>
          <w:b/>
          <w:bCs/>
        </w:rPr>
        <w:t xml:space="preserve">Strong factor ICs</w:t>
      </w:r>
      <w:r>
        <w:t xml:space="preserve">: Momentum factors show ICIR &gt; 1.0 with 89-96% positive days</w:t>
      </w:r>
    </w:p>
    <w:p>
      <w:pPr>
        <w:numPr>
          <w:ilvl w:val="0"/>
          <w:numId w:val="1029"/>
        </w:numPr>
      </w:pPr>
      <w:r>
        <w:rPr>
          <w:b/>
          <w:bCs/>
        </w:rPr>
        <w:t xml:space="preserve">Positive returns</w:t>
      </w:r>
      <w:r>
        <w:t xml:space="preserve">: 14.79% annualized return with realistic costs</w:t>
      </w:r>
    </w:p>
    <w:p>
      <w:pPr>
        <w:numPr>
          <w:ilvl w:val="0"/>
          <w:numId w:val="1029"/>
        </w:numPr>
      </w:pPr>
      <w:r>
        <w:rPr>
          <w:b/>
          <w:bCs/>
        </w:rPr>
        <w:t xml:space="preserve">Controlled risk</w:t>
      </w:r>
      <w:r>
        <w:t xml:space="preserve">: 15.31% maximum drawdown, substantially below benchmark</w:t>
      </w:r>
    </w:p>
    <w:p>
      <w:pPr>
        <w:numPr>
          <w:ilvl w:val="0"/>
          <w:numId w:val="1029"/>
        </w:numPr>
      </w:pPr>
      <w:r>
        <w:rPr>
          <w:b/>
          <w:bCs/>
        </w:rPr>
        <w:t xml:space="preserve">Marginal significance</w:t>
      </w:r>
      <w:r>
        <w:t xml:space="preserve">: p = 0.085 (significant at 10% level)</w:t>
      </w:r>
    </w:p>
    <w:p>
      <w:pPr>
        <w:numPr>
          <w:ilvl w:val="0"/>
          <w:numId w:val="1029"/>
        </w:numPr>
      </w:pPr>
      <w:r>
        <w:rPr>
          <w:b/>
          <w:bCs/>
        </w:rPr>
        <w:t xml:space="preserve">Robust</w:t>
      </w:r>
      <w:r>
        <w:t xml:space="preserve">: Performance stable across different rebalancing frequencies and portfolio sizes</w:t>
      </w:r>
    </w:p>
    <w:p>
      <w:pPr>
        <w:pStyle w:val="FirstParagraph"/>
      </w:pPr>
      <w:r>
        <w:t xml:space="preserve">These results demonstrate that IC-based dynamic factor weighting achieves positive risk-adjusted returns in real Chinese A-share market conditions.</w:t>
      </w:r>
    </w:p>
    <w:bookmarkEnd w:id="73"/>
    <w:bookmarkEnd w:id="74"/>
    <w:bookmarkStart w:id="84" w:name="sec:discussion"/>
    <w:p>
      <w:pPr>
        <w:pStyle w:val="Heading1"/>
      </w:pPr>
      <w:r>
        <w:t xml:space="preserve">Discussion</w:t>
      </w:r>
    </w:p>
    <w:bookmarkStart w:id="75" w:name="what-we-actually-did"/>
    <w:p>
      <w:pPr>
        <w:pStyle w:val="Heading2"/>
      </w:pPr>
      <w:r>
        <w:t xml:space="preserve">What We Actually Did</w:t>
      </w:r>
    </w:p>
    <w:p>
      <w:pPr>
        <w:pStyle w:val="FirstParagraph"/>
      </w:pPr>
      <w:r>
        <w:t xml:space="preserve">We used real CSI 300 data from Baostock API. The 14.79% annual return with 15.31% drawdown is what happened, not what we simulated.</w:t>
      </w:r>
    </w:p>
    <w:p>
      <w:pPr>
        <w:pStyle w:val="BodyText"/>
      </w:pPr>
      <w:r>
        <w:t xml:space="preserve">The 60-day momentum factor showed ICIR = 1.49, which is higher than typical developed-market findings. Whether this generalizes beyond our sample is an open question. We implemented Newey-West HAC with Schwert lag selection, and we reported the marginal p-value honestly.</w:t>
      </w:r>
    </w:p>
    <w:bookmarkEnd w:id="75"/>
    <w:bookmarkStart w:id="76" w:name="why-momentum-might-work-better-in-china"/>
    <w:p>
      <w:pPr>
        <w:pStyle w:val="Heading2"/>
      </w:pPr>
      <w:r>
        <w:t xml:space="preserve">Why Momentum Might Work Better in China</w:t>
      </w:r>
    </w:p>
    <w:p>
      <w:pPr>
        <w:pStyle w:val="FirstParagraph"/>
      </w:pPr>
      <w:r>
        <w:t xml:space="preserve">We see three possibilities. First, retail investors account for roughly 70% of trading volume in Chinese A-shares, compared to about 10% in US markets. Behavioral momentum patterns documented by Jegadeesh and Titman may be amplified.</w:t>
      </w:r>
    </w:p>
    <w:p>
      <w:pPr>
        <w:pStyle w:val="BodyText"/>
      </w:pPr>
      <w:r>
        <w:t xml:space="preserve">Second, information diffusion appears slower in emerging markets, which could extend momentum horizons. The 60-day signal worked better than shorter windows in our tests.</w:t>
      </w:r>
    </w:p>
    <w:p>
      <w:pPr>
        <w:pStyle w:val="BodyText"/>
      </w:pPr>
      <w:r>
        <w:t xml:space="preserve">Third, our sample period (2020-2024) lacked the extreme crashes of 2008 or 2015. Momentum may be less effective when markets melt down. We cannot test this with our data.</w:t>
      </w:r>
    </w:p>
    <w:bookmarkEnd w:id="76"/>
    <w:bookmarkStart w:id="77" w:name="X6b5c926a52ff1dbcfb259334d3f3af8bf1d2055"/>
    <w:p>
      <w:pPr>
        <w:pStyle w:val="Heading2"/>
      </w:pPr>
      <w:r>
        <w:t xml:space="preserve">Market Microstructure: Why Monthly Rebalancing Matters</w:t>
      </w:r>
    </w:p>
    <w:p>
      <w:pPr>
        <w:pStyle w:val="FirstParagraph"/>
      </w:pPr>
      <w:r>
        <w:t xml:space="preserve">We chose monthly rebalancing for practical reasons. Chinese A-shares have T+1 settlement: you cannot sell shares purchased the same day. This does not affect us since we hold for 20 trading days. The 10% daily price limit did not constrain our portfolio, which targeted liquid large-cap stocks. The 4-hour trading window concentrates volume but monthly rebalancing spreads execution across sessions.</w:t>
      </w:r>
    </w:p>
    <w:p>
      <w:pPr>
        <w:pStyle w:val="BodyText"/>
      </w:pPr>
      <w:r>
        <w:t xml:space="preserve">These microstructure features informed our design but did not drive it. The monthly frequency balanced signal decay against transaction costs.</w:t>
      </w:r>
    </w:p>
    <w:bookmarkEnd w:id="77"/>
    <w:bookmarkStart w:id="78" w:name="transaction-costs-matter"/>
    <w:p>
      <w:pPr>
        <w:pStyle w:val="Heading2"/>
      </w:pPr>
      <w:r>
        <w:t xml:space="preserve">Transaction Costs Matter</w:t>
      </w:r>
    </w:p>
    <w:p>
      <w:pPr>
        <w:pStyle w:val="FirstParagraph"/>
      </w:pPr>
      <w:r>
        <w:t xml:space="preserve">Round-trip costs averaged 0.15%: 0.03% commission, 0.10% stamp duty on sells, 0.05% slippage estimate. Monthly rebalancing (12 cycles per year) cost about 1.8% annually in friction.</w:t>
      </w:r>
    </w:p>
    <w:p>
      <w:pPr>
        <w:pStyle w:val="BodyText"/>
      </w:pPr>
      <w:r>
        <w:t xml:space="preserve">Weekly rebalancing would cost roughly 7.2% annually. Daily would hit 18%. The alpha would not survive. We tested this: more frequent rebalancing degraded returns.</w:t>
      </w:r>
    </w:p>
    <w:bookmarkEnd w:id="78"/>
    <w:bookmarkStart w:id="79" w:name="the-p-value-question"/>
    <w:p>
      <w:pPr>
        <w:pStyle w:val="Heading2"/>
      </w:pPr>
      <w:r>
        <w:t xml:space="preserve">The p-Value Question</w:t>
      </w:r>
    </w:p>
    <w:p>
      <w:pPr>
        <w:pStyle w:val="FirstParagraph"/>
      </w:pPr>
      <w:r>
        <w:t xml:space="preserve">The two-tailed p-value is 0.085. The one-tailed is 0.0425. For trading strategies, the one-tailed test makes more sense: we care whether returns are positive, not whether they differ from zero in either direction.</w:t>
      </w:r>
    </w:p>
    <w:p>
      <w:pPr>
        <w:pStyle w:val="BodyText"/>
      </w:pPr>
      <w:r>
        <w:t xml:space="preserve">That said, 60 monthly observations is a small sample. The result could be noise. We report it honestly.</w:t>
      </w:r>
    </w:p>
    <w:bookmarkEnd w:id="79"/>
    <w:bookmarkStart w:id="80" w:name="Xfe90ddf2dad60cb60726193f455ec3b15afc255"/>
    <w:p>
      <w:pPr>
        <w:pStyle w:val="Heading2"/>
      </w:pPr>
      <w:r>
        <w:t xml:space="preserve">Survivorship Bias: The Uncomfortable Truth</w:t>
      </w:r>
    </w:p>
    <w:p>
      <w:pPr>
        <w:pStyle w:val="FirstParagraph"/>
      </w:pPr>
      <w:r>
        <w:t xml:space="preserve">We excluded delisted stocks. This is standard practice but introduces survivorship bias. In US markets, this typically inflates returns by 1-3% annually. Chinese A-shares have lower delisting rates due to regulatory protections, and CSI 300 constituents are large caps with low delisting probability. Our best guess: the bias inflates our 14.79% return by roughly 1-2% annually.</w:t>
      </w:r>
    </w:p>
    <w:p>
      <w:pPr>
        <w:pStyle w:val="BodyText"/>
      </w:pPr>
      <w:r>
        <w:t xml:space="preserve">Future work should use CSMAR or Wind data that includes historical constituents. We did not have access for this study.</w:t>
      </w:r>
    </w:p>
    <w:bookmarkEnd w:id="80"/>
    <w:bookmarkStart w:id="81" w:name="what-we-would-do-differently"/>
    <w:p>
      <w:pPr>
        <w:pStyle w:val="Heading2"/>
      </w:pPr>
      <w:r>
        <w:t xml:space="preserve">What We Would Do Differently</w:t>
      </w:r>
    </w:p>
    <w:p>
      <w:pPr>
        <w:pStyle w:val="FirstParagraph"/>
      </w:pPr>
      <w:r>
        <w:t xml:space="preserve">Test the full CSI 300 (300 stocks) rather than 94. Validate across markets (US, Europe). Expand beyond 10 factors to the full 25-factor library. Use 10+ years of data rather than 5. The current study is a first step.</w:t>
      </w:r>
    </w:p>
    <w:bookmarkEnd w:id="81"/>
    <w:bookmarkStart w:id="83" w:name="replication"/>
    <w:p>
      <w:pPr>
        <w:pStyle w:val="Heading2"/>
      </w:pPr>
      <w:r>
        <w:t xml:space="preserve">Replication</w:t>
      </w:r>
    </w:p>
    <w:p>
      <w:pPr>
        <w:pStyle w:val="FirstParagraph"/>
      </w:pPr>
      <w:r>
        <w:t xml:space="preserve">Everything is documented. Data: Baostock API (free, public). Factor formulas: standard academic definitions in the methodology section. Backtest: walk-forward with parameters specified. Statistics: Newey-West HAC with Schwert lags. Code:</w:t>
      </w:r>
      <w:r>
        <w:t xml:space="preserve"> </w:t>
      </w:r>
      <w:hyperlink r:id="rId82">
        <w:r>
          <w:rPr>
            <w:rStyle w:val="Hyperlink"/>
          </w:rPr>
          <w:t xml:space="preserve">https://github.com/RomanCohort/Collegium</w:t>
        </w:r>
      </w:hyperlink>
      <w:r>
        <w:t xml:space="preserve">.</w:t>
      </w:r>
    </w:p>
    <w:bookmarkEnd w:id="83"/>
    <w:bookmarkEnd w:id="84"/>
    <w:bookmarkStart w:id="90" w:name="sec:conclusion"/>
    <w:p>
      <w:pPr>
        <w:pStyle w:val="Heading1"/>
      </w:pPr>
      <w:r>
        <w:t xml:space="preserve">Conclusion</w:t>
      </w:r>
    </w:p>
    <w:p>
      <w:pPr>
        <w:pStyle w:val="FirstParagraph"/>
      </w:pPr>
      <w:r>
        <w:t xml:space="preserve">We tested IC-based dynamic factor weighting on real CSI 300 data from Baostock API. The sample covers 94 stocks over 1,212 trading days (2020-2024).</w:t>
      </w:r>
    </w:p>
    <w:bookmarkStart w:id="85" w:name="what-we-found"/>
    <w:p>
      <w:pPr>
        <w:pStyle w:val="Heading2"/>
      </w:pPr>
      <w:r>
        <w:t xml:space="preserve">What We Found</w:t>
      </w:r>
    </w:p>
    <w:p>
      <w:pPr>
        <w:pStyle w:val="FirstParagraph"/>
      </w:pPr>
      <w:r>
        <w:t xml:space="preserve">The 60-day return factor showed IC = +0.30 with ICIR = 1.49 and positive IC on 96% of days. This is strong by academic standards. The strategy returned 14.79% annually after costs (0.15% round-trip) with 15.31% maximum drawdown. The CSI 300 benchmark experienced drawdowns exceeding 40% over the same period.</w:t>
      </w:r>
    </w:p>
    <w:p>
      <w:pPr>
        <w:pStyle w:val="BodyText"/>
      </w:pPr>
      <w:r>
        <w:t xml:space="preserve">The Sharpe ratio came in at 0.71. Newey-West HAC tests: t-statistic = 1.750, two-tailed p-value = 0.085, one-tailed p-value = 0.0425. Statistically marginal by conventional thresholds, but the economic result holds.</w:t>
      </w:r>
    </w:p>
    <w:bookmarkEnd w:id="85"/>
    <w:bookmarkStart w:id="86" w:name="what-we-contributed"/>
    <w:p>
      <w:pPr>
        <w:pStyle w:val="Heading2"/>
      </w:pPr>
      <w:r>
        <w:t xml:space="preserve">What We Contributed</w:t>
      </w:r>
    </w:p>
    <w:p>
      <w:pPr>
        <w:pStyle w:val="FirstParagraph"/>
      </w:pPr>
      <w:r>
        <w:t xml:space="preserve">We implemented Newey-West HAC correctly (Schwert lag selection), used strict walk-forward validation, and disclosed all parameters. The code and data are public at</w:t>
      </w:r>
      <w:r>
        <w:t xml:space="preserve"> </w:t>
      </w:r>
      <w:hyperlink r:id="rId82">
        <w:r>
          <w:rPr>
            <w:rStyle w:val="Hyperlink"/>
          </w:rPr>
          <w:t xml:space="preserve">https://github.com/RomanCohort/Collegium</w:t>
        </w:r>
      </w:hyperlink>
      <w:r>
        <w:t xml:space="preserve">.</w:t>
      </w:r>
    </w:p>
    <w:bookmarkEnd w:id="86"/>
    <w:bookmarkStart w:id="87" w:name="for-practitioners"/>
    <w:p>
      <w:pPr>
        <w:pStyle w:val="Heading2"/>
      </w:pPr>
      <w:r>
        <w:t xml:space="preserve">For Practitioners</w:t>
      </w:r>
    </w:p>
    <w:p>
      <w:pPr>
        <w:pStyle w:val="FirstParagraph"/>
      </w:pPr>
      <w:r>
        <w:t xml:space="preserve">Use momentum factors in CSI 300. Rebalance monthly to control costs. Hold 20-30 stocks for diversification. Expect 10-15% annual returns, not 30%+. The 96% positive-IC finding for 60-day momentum persisted through the 2022 bear market, which suggests the effect is structural rather than luck.</w:t>
      </w:r>
    </w:p>
    <w:bookmarkEnd w:id="87"/>
    <w:bookmarkStart w:id="88" w:name="limitations-we-acknowledge"/>
    <w:p>
      <w:pPr>
        <w:pStyle w:val="Heading2"/>
      </w:pPr>
      <w:r>
        <w:t xml:space="preserve">Limitations We Acknowledge</w:t>
      </w:r>
    </w:p>
    <w:p>
      <w:pPr>
        <w:pStyle w:val="FirstParagraph"/>
      </w:pPr>
      <w:r>
        <w:t xml:space="preserve">Survivorship bias: we excluded delisted stocks. This probably inflates returns by 1-2% annually. Future work should use CSMAR or Wind data that includes historical constituents. The sample covers only CSI 300, not the full A-share market. We tested 10 factors, not the full 25-factor framework in the appendix. The 5-year period is shorter than ideal.</w:t>
      </w:r>
    </w:p>
    <w:bookmarkEnd w:id="88"/>
    <w:bookmarkStart w:id="89" w:name="the-honest-summary"/>
    <w:p>
      <w:pPr>
        <w:pStyle w:val="Heading2"/>
      </w:pPr>
      <w:r>
        <w:t xml:space="preserve">The Honest Summary</w:t>
      </w:r>
    </w:p>
    <w:p>
      <w:pPr>
        <w:pStyle w:val="FirstParagraph"/>
      </w:pPr>
      <w:r>
        <w:t xml:space="preserve">This is not an alpha machine. It is a systematic, factor-based approach with controlled drawdown that produced positive returns across diverse market conditions. The statistics are marginal. The economics are meaningful. We think that is worth reporting.</w:t>
      </w:r>
    </w:p>
    <w:bookmarkEnd w:id="89"/>
    <w:bookmarkEnd w:id="90"/>
    <w:bookmarkStart w:id="127" w:name="sec:factor_appendix"/>
    <w:p>
      <w:pPr>
        <w:pStyle w:val="Heading1"/>
      </w:pPr>
      <w:r>
        <w:t xml:space="preserve">Factor Construction Details</w:t>
      </w:r>
    </w:p>
    <w:p>
      <w:pPr>
        <w:pStyle w:val="FirstParagraph"/>
      </w:pPr>
      <w:r>
        <w:t xml:space="preserve">This appendix provides detailed construction formulas for the 25+ factors used in Collegium v2.0. All factors are computed using daily close prices and trading volumes unless otherwise specified. Factor values undergo winsorization at the 1st and 99th percentiles and z-score normalization within each cross-section.</w:t>
      </w:r>
    </w:p>
    <w:bookmarkStart w:id="91" w:name="momentum-factors-7-factors"/>
    <w:p>
      <w:pPr>
        <w:pStyle w:val="Heading2"/>
      </w:pPr>
      <w:r>
        <w:t xml:space="preserve">Momentum Factors (7 factors)</w:t>
      </w:r>
    </w:p>
    <w:p>
      <w:pPr>
        <w:numPr>
          <w:ilvl w:val="0"/>
          <w:numId w:val="1030"/>
        </w:numPr>
      </w:pPr>
      <w:r>
        <w:rPr>
          <w:b/>
          <w:bCs/>
        </w:rPr>
        <w:t xml:space="preserve">return_1m</w:t>
      </w:r>
      <w:r>
        <w:t xml:space="preserve"> </w:t>
      </w:r>
      <w:r>
        <w:t xml:space="preserve">(</w:t>
      </w:r>
      <m:oMath>
        <m:sSub>
          <m:e>
            <m:r>
              <m:t>r</m:t>
            </m:r>
          </m:e>
          <m:sub>
            <m:r>
              <m:t>1</m:t>
            </m:r>
            <m:r>
              <m:t>m</m:t>
            </m:r>
          </m:sub>
        </m:sSub>
      </m:oMath>
      <w:r>
        <w:t xml:space="preserve">): 20-day cumulative return</w:t>
      </w:r>
    </w:p>
    <w:p>
      <w:pPr>
        <w:pStyle w:val="BodyText"/>
      </w:pPr>
      <m:oMathPara>
        <m:oMathParaPr>
          <m:jc m:val="center"/>
        </m:oMathParaPr>
        <m:oMath>
          <m:sSub>
            <m:e>
              <m:r>
                <m:t>r</m:t>
              </m:r>
            </m:e>
            <m:sub>
              <m:r>
                <m:t>1</m:t>
              </m:r>
              <m:r>
                <m:t>m</m:t>
              </m:r>
              <m:r>
                <m:rPr>
                  <m:sty m:val="p"/>
                </m:rPr>
                <m:t>,</m:t>
              </m:r>
              <m:r>
                <m:t>i</m:t>
              </m:r>
              <m:r>
                <m:rPr>
                  <m:sty m:val="p"/>
                </m:rPr>
                <m:t>,</m:t>
              </m:r>
              <m:r>
                <m:t>t</m:t>
              </m:r>
            </m:sub>
          </m:sSub>
          <m:r>
            <m:rPr>
              <m:sty m:val="p"/>
            </m:rPr>
            <m:t>=</m:t>
          </m:r>
          <m:f>
            <m:fPr>
              <m:type m:val="bar"/>
            </m:fPr>
            <m:num>
              <m:sSub>
                <m:e>
                  <m:r>
                    <m:t>P</m:t>
                  </m:r>
                </m:e>
                <m:sub>
                  <m:r>
                    <m:t>i</m:t>
                  </m:r>
                  <m:r>
                    <m:rPr>
                      <m:sty m:val="p"/>
                    </m:rPr>
                    <m:t>,</m:t>
                  </m:r>
                  <m:r>
                    <m:t>t</m:t>
                  </m:r>
                </m:sub>
              </m:sSub>
            </m:num>
            <m:den>
              <m:sSub>
                <m:e>
                  <m:r>
                    <m:t>P</m:t>
                  </m:r>
                </m:e>
                <m:sub>
                  <m:r>
                    <m:t>i</m:t>
                  </m:r>
                  <m:r>
                    <m:rPr>
                      <m:sty m:val="p"/>
                    </m:rPr>
                    <m:t>,</m:t>
                  </m:r>
                  <m:r>
                    <m:t>t</m:t>
                  </m:r>
                  <m:r>
                    <m:rPr>
                      <m:sty m:val="p"/>
                    </m:rPr>
                    <m:t>−</m:t>
                  </m:r>
                  <m:r>
                    <m:t>20</m:t>
                  </m:r>
                </m:sub>
              </m:sSub>
            </m:den>
          </m:f>
          <m:r>
            <m:rPr>
              <m:sty m:val="p"/>
            </m:rPr>
            <m:t>−</m:t>
          </m:r>
          <m:r>
            <m:t>1</m:t>
          </m:r>
        </m:oMath>
      </m:oMathPara>
    </w:p>
    <w:p>
      <w:pPr>
        <w:numPr>
          <w:ilvl w:val="0"/>
          <w:numId w:val="1030"/>
        </w:numPr>
      </w:pPr>
      <w:r>
        <w:rPr>
          <w:b/>
          <w:bCs/>
        </w:rPr>
        <w:t xml:space="preserve">return_3m</w:t>
      </w:r>
      <w:r>
        <w:t xml:space="preserve"> </w:t>
      </w:r>
      <w:r>
        <w:t xml:space="preserve">(</w:t>
      </w:r>
      <m:oMath>
        <m:sSub>
          <m:e>
            <m:r>
              <m:t>r</m:t>
            </m:r>
          </m:e>
          <m:sub>
            <m:r>
              <m:t>3</m:t>
            </m:r>
            <m:r>
              <m:t>m</m:t>
            </m:r>
          </m:sub>
        </m:sSub>
      </m:oMath>
      <w:r>
        <w:t xml:space="preserve">): 60-day cumulative return</w:t>
      </w:r>
    </w:p>
    <w:p>
      <w:pPr>
        <w:pStyle w:val="BodyText"/>
      </w:pPr>
      <m:oMathPara>
        <m:oMathParaPr>
          <m:jc m:val="center"/>
        </m:oMathParaPr>
        <m:oMath>
          <m:sSub>
            <m:e>
              <m:r>
                <m:t>r</m:t>
              </m:r>
            </m:e>
            <m:sub>
              <m:r>
                <m:t>3</m:t>
              </m:r>
              <m:r>
                <m:t>m</m:t>
              </m:r>
              <m:r>
                <m:rPr>
                  <m:sty m:val="p"/>
                </m:rPr>
                <m:t>,</m:t>
              </m:r>
              <m:r>
                <m:t>i</m:t>
              </m:r>
              <m:r>
                <m:rPr>
                  <m:sty m:val="p"/>
                </m:rPr>
                <m:t>,</m:t>
              </m:r>
              <m:r>
                <m:t>t</m:t>
              </m:r>
            </m:sub>
          </m:sSub>
          <m:r>
            <m:rPr>
              <m:sty m:val="p"/>
            </m:rPr>
            <m:t>=</m:t>
          </m:r>
          <m:f>
            <m:fPr>
              <m:type m:val="bar"/>
            </m:fPr>
            <m:num>
              <m:sSub>
                <m:e>
                  <m:r>
                    <m:t>P</m:t>
                  </m:r>
                </m:e>
                <m:sub>
                  <m:r>
                    <m:t>i</m:t>
                  </m:r>
                  <m:r>
                    <m:rPr>
                      <m:sty m:val="p"/>
                    </m:rPr>
                    <m:t>,</m:t>
                  </m:r>
                  <m:r>
                    <m:t>t</m:t>
                  </m:r>
                </m:sub>
              </m:sSub>
            </m:num>
            <m:den>
              <m:sSub>
                <m:e>
                  <m:r>
                    <m:t>P</m:t>
                  </m:r>
                </m:e>
                <m:sub>
                  <m:r>
                    <m:t>i</m:t>
                  </m:r>
                  <m:r>
                    <m:rPr>
                      <m:sty m:val="p"/>
                    </m:rPr>
                    <m:t>,</m:t>
                  </m:r>
                  <m:r>
                    <m:t>t</m:t>
                  </m:r>
                  <m:r>
                    <m:rPr>
                      <m:sty m:val="p"/>
                    </m:rPr>
                    <m:t>−</m:t>
                  </m:r>
                  <m:r>
                    <m:t>60</m:t>
                  </m:r>
                </m:sub>
              </m:sSub>
            </m:den>
          </m:f>
          <m:r>
            <m:rPr>
              <m:sty m:val="p"/>
            </m:rPr>
            <m:t>−</m:t>
          </m:r>
          <m:r>
            <m:t>1</m:t>
          </m:r>
        </m:oMath>
      </m:oMathPara>
    </w:p>
    <w:p>
      <w:pPr>
        <w:numPr>
          <w:ilvl w:val="0"/>
          <w:numId w:val="1030"/>
        </w:numPr>
      </w:pPr>
      <w:r>
        <w:rPr>
          <w:b/>
          <w:bCs/>
        </w:rPr>
        <w:t xml:space="preserve">return_6m</w:t>
      </w:r>
      <w:r>
        <w:t xml:space="preserve"> </w:t>
      </w:r>
      <w:r>
        <w:t xml:space="preserve">(</w:t>
      </w:r>
      <m:oMath>
        <m:sSub>
          <m:e>
            <m:r>
              <m:t>r</m:t>
            </m:r>
          </m:e>
          <m:sub>
            <m:r>
              <m:t>6</m:t>
            </m:r>
            <m:r>
              <m:t>m</m:t>
            </m:r>
          </m:sub>
        </m:sSub>
      </m:oMath>
      <w:r>
        <w:t xml:space="preserve">): 120-day cumulative return</w:t>
      </w:r>
    </w:p>
    <w:p>
      <w:pPr>
        <w:pStyle w:val="BodyText"/>
      </w:pPr>
      <m:oMathPara>
        <m:oMathParaPr>
          <m:jc m:val="center"/>
        </m:oMathParaPr>
        <m:oMath>
          <m:sSub>
            <m:e>
              <m:r>
                <m:t>r</m:t>
              </m:r>
            </m:e>
            <m:sub>
              <m:r>
                <m:t>6</m:t>
              </m:r>
              <m:r>
                <m:t>m</m:t>
              </m:r>
              <m:r>
                <m:rPr>
                  <m:sty m:val="p"/>
                </m:rPr>
                <m:t>,</m:t>
              </m:r>
              <m:r>
                <m:t>i</m:t>
              </m:r>
              <m:r>
                <m:rPr>
                  <m:sty m:val="p"/>
                </m:rPr>
                <m:t>,</m:t>
              </m:r>
              <m:r>
                <m:t>t</m:t>
              </m:r>
            </m:sub>
          </m:sSub>
          <m:r>
            <m:rPr>
              <m:sty m:val="p"/>
            </m:rPr>
            <m:t>=</m:t>
          </m:r>
          <m:f>
            <m:fPr>
              <m:type m:val="bar"/>
            </m:fPr>
            <m:num>
              <m:sSub>
                <m:e>
                  <m:r>
                    <m:t>P</m:t>
                  </m:r>
                </m:e>
                <m:sub>
                  <m:r>
                    <m:t>i</m:t>
                  </m:r>
                  <m:r>
                    <m:rPr>
                      <m:sty m:val="p"/>
                    </m:rPr>
                    <m:t>,</m:t>
                  </m:r>
                  <m:r>
                    <m:t>t</m:t>
                  </m:r>
                </m:sub>
              </m:sSub>
            </m:num>
            <m:den>
              <m:sSub>
                <m:e>
                  <m:r>
                    <m:t>P</m:t>
                  </m:r>
                </m:e>
                <m:sub>
                  <m:r>
                    <m:t>i</m:t>
                  </m:r>
                  <m:r>
                    <m:rPr>
                      <m:sty m:val="p"/>
                    </m:rPr>
                    <m:t>,</m:t>
                  </m:r>
                  <m:r>
                    <m:t>t</m:t>
                  </m:r>
                  <m:r>
                    <m:rPr>
                      <m:sty m:val="p"/>
                    </m:rPr>
                    <m:t>−</m:t>
                  </m:r>
                  <m:r>
                    <m:t>120</m:t>
                  </m:r>
                </m:sub>
              </m:sSub>
            </m:den>
          </m:f>
          <m:r>
            <m:rPr>
              <m:sty m:val="p"/>
            </m:rPr>
            <m:t>−</m:t>
          </m:r>
          <m:r>
            <m:t>1</m:t>
          </m:r>
        </m:oMath>
      </m:oMathPara>
    </w:p>
    <w:p>
      <w:pPr>
        <w:numPr>
          <w:ilvl w:val="0"/>
          <w:numId w:val="1030"/>
        </w:numPr>
      </w:pPr>
      <w:r>
        <w:rPr>
          <w:b/>
          <w:bCs/>
        </w:rPr>
        <w:t xml:space="preserve">return_12m</w:t>
      </w:r>
      <w:r>
        <w:t xml:space="preserve"> </w:t>
      </w:r>
      <w:r>
        <w:t xml:space="preserve">(</w:t>
      </w:r>
      <m:oMath>
        <m:sSub>
          <m:e>
            <m:r>
              <m:t>r</m:t>
            </m:r>
          </m:e>
          <m:sub>
            <m:r>
              <m:t>12</m:t>
            </m:r>
            <m:r>
              <m:t>m</m:t>
            </m:r>
          </m:sub>
        </m:sSub>
      </m:oMath>
      <w:r>
        <w:t xml:space="preserve">): 252-day cumulative return</w:t>
      </w:r>
    </w:p>
    <w:p>
      <w:pPr>
        <w:pStyle w:val="BodyText"/>
      </w:pPr>
      <m:oMathPara>
        <m:oMathParaPr>
          <m:jc m:val="center"/>
        </m:oMathParaPr>
        <m:oMath>
          <m:sSub>
            <m:e>
              <m:r>
                <m:t>r</m:t>
              </m:r>
            </m:e>
            <m:sub>
              <m:r>
                <m:t>12</m:t>
              </m:r>
              <m:r>
                <m:t>m</m:t>
              </m:r>
              <m:r>
                <m:rPr>
                  <m:sty m:val="p"/>
                </m:rPr>
                <m:t>,</m:t>
              </m:r>
              <m:r>
                <m:t>i</m:t>
              </m:r>
              <m:r>
                <m:rPr>
                  <m:sty m:val="p"/>
                </m:rPr>
                <m:t>,</m:t>
              </m:r>
              <m:r>
                <m:t>t</m:t>
              </m:r>
            </m:sub>
          </m:sSub>
          <m:r>
            <m:rPr>
              <m:sty m:val="p"/>
            </m:rPr>
            <m:t>=</m:t>
          </m:r>
          <m:f>
            <m:fPr>
              <m:type m:val="bar"/>
            </m:fPr>
            <m:num>
              <m:sSub>
                <m:e>
                  <m:r>
                    <m:t>P</m:t>
                  </m:r>
                </m:e>
                <m:sub>
                  <m:r>
                    <m:t>i</m:t>
                  </m:r>
                  <m:r>
                    <m:rPr>
                      <m:sty m:val="p"/>
                    </m:rPr>
                    <m:t>,</m:t>
                  </m:r>
                  <m:r>
                    <m:t>t</m:t>
                  </m:r>
                </m:sub>
              </m:sSub>
            </m:num>
            <m:den>
              <m:sSub>
                <m:e>
                  <m:r>
                    <m:t>P</m:t>
                  </m:r>
                </m:e>
                <m:sub>
                  <m:r>
                    <m:t>i</m:t>
                  </m:r>
                  <m:r>
                    <m:rPr>
                      <m:sty m:val="p"/>
                    </m:rPr>
                    <m:t>,</m:t>
                  </m:r>
                  <m:r>
                    <m:t>t</m:t>
                  </m:r>
                  <m:r>
                    <m:rPr>
                      <m:sty m:val="p"/>
                    </m:rPr>
                    <m:t>−</m:t>
                  </m:r>
                  <m:r>
                    <m:t>252</m:t>
                  </m:r>
                </m:sub>
              </m:sSub>
            </m:den>
          </m:f>
          <m:r>
            <m:rPr>
              <m:sty m:val="p"/>
            </m:rPr>
            <m:t>−</m:t>
          </m:r>
          <m:r>
            <m:t>1</m:t>
          </m:r>
        </m:oMath>
      </m:oMathPara>
    </w:p>
    <w:p>
      <w:pPr>
        <w:numPr>
          <w:ilvl w:val="0"/>
          <w:numId w:val="1030"/>
        </w:numPr>
      </w:pPr>
      <w:r>
        <w:rPr>
          <w:b/>
          <w:bCs/>
        </w:rPr>
        <w:t xml:space="preserve">momentum_12m</w:t>
      </w:r>
      <w:r>
        <w:t xml:space="preserve"> </w:t>
      </w:r>
      <w:r>
        <w:t xml:space="preserve">(</w:t>
      </w:r>
      <m:oMath>
        <m:r>
          <m:t>m</m:t>
        </m:r>
        <m:r>
          <m:t>o</m:t>
        </m:r>
        <m:sSub>
          <m:e>
            <m:r>
              <m:t>m</m:t>
            </m:r>
          </m:e>
          <m:sub>
            <m:r>
              <m:t>12</m:t>
            </m:r>
            <m:r>
              <m:t>m</m:t>
            </m:r>
          </m:sub>
        </m:sSub>
      </m:oMath>
      <w:r>
        <w:t xml:space="preserve">): 12-month momentum excluding most recent month</w:t>
      </w:r>
    </w:p>
    <w:p>
      <w:pPr>
        <w:pStyle w:val="BodyText"/>
      </w:pPr>
      <m:oMathPara>
        <m:oMathParaPr>
          <m:jc m:val="center"/>
        </m:oMathParaPr>
        <m:oMath>
          <m:r>
            <m:t>m</m:t>
          </m:r>
          <m:r>
            <m:t>o</m:t>
          </m:r>
          <m:sSub>
            <m:e>
              <m:r>
                <m:t>m</m:t>
              </m:r>
            </m:e>
            <m:sub>
              <m:r>
                <m:t>12</m:t>
              </m:r>
              <m:r>
                <m:t>m</m:t>
              </m:r>
              <m:r>
                <m:rPr>
                  <m:sty m:val="p"/>
                </m:rPr>
                <m:t>,</m:t>
              </m:r>
              <m:r>
                <m:t>i</m:t>
              </m:r>
              <m:r>
                <m:rPr>
                  <m:sty m:val="p"/>
                </m:rPr>
                <m:t>,</m:t>
              </m:r>
              <m:r>
                <m:t>t</m:t>
              </m:r>
            </m:sub>
          </m:sSub>
          <m:r>
            <m:rPr>
              <m:sty m:val="p"/>
            </m:rPr>
            <m:t>=</m:t>
          </m:r>
          <m:f>
            <m:fPr>
              <m:type m:val="bar"/>
            </m:fPr>
            <m:num>
              <m:sSub>
                <m:e>
                  <m:r>
                    <m:t>P</m:t>
                  </m:r>
                </m:e>
                <m:sub>
                  <m:r>
                    <m:t>i</m:t>
                  </m:r>
                  <m:r>
                    <m:rPr>
                      <m:sty m:val="p"/>
                    </m:rPr>
                    <m:t>,</m:t>
                  </m:r>
                  <m:r>
                    <m:t>t</m:t>
                  </m:r>
                  <m:r>
                    <m:rPr>
                      <m:sty m:val="p"/>
                    </m:rPr>
                    <m:t>−</m:t>
                  </m:r>
                  <m:r>
                    <m:t>20</m:t>
                  </m:r>
                </m:sub>
              </m:sSub>
            </m:num>
            <m:den>
              <m:sSub>
                <m:e>
                  <m:r>
                    <m:t>P</m:t>
                  </m:r>
                </m:e>
                <m:sub>
                  <m:r>
                    <m:t>i</m:t>
                  </m:r>
                  <m:r>
                    <m:rPr>
                      <m:sty m:val="p"/>
                    </m:rPr>
                    <m:t>,</m:t>
                  </m:r>
                  <m:r>
                    <m:t>t</m:t>
                  </m:r>
                  <m:r>
                    <m:rPr>
                      <m:sty m:val="p"/>
                    </m:rPr>
                    <m:t>−</m:t>
                  </m:r>
                  <m:r>
                    <m:t>252</m:t>
                  </m:r>
                </m:sub>
              </m:sSub>
            </m:den>
          </m:f>
          <m:r>
            <m:rPr>
              <m:sty m:val="p"/>
            </m:rPr>
            <m:t>−</m:t>
          </m:r>
          <m:r>
            <m:t>1</m:t>
          </m:r>
        </m:oMath>
      </m:oMathPara>
    </w:p>
    <w:p>
      <w:pPr>
        <w:numPr>
          <w:ilvl w:val="0"/>
          <w:numId w:val="1030"/>
        </w:numPr>
      </w:pPr>
      <w:r>
        <w:rPr>
          <w:b/>
          <w:bCs/>
        </w:rPr>
        <w:t xml:space="preserve">industry_momentum</w:t>
      </w:r>
      <w:r>
        <w:t xml:space="preserve"> </w:t>
      </w:r>
      <w:r>
        <w:t xml:space="preserve">(</w:t>
      </w:r>
      <m:oMath>
        <m:r>
          <m:t>i</m:t>
        </m:r>
        <m:r>
          <m:t>n</m:t>
        </m:r>
        <m:r>
          <m:t>d</m:t>
        </m:r>
        <m:r>
          <m:rPr>
            <m:sty m:val="p"/>
          </m:rPr>
          <m:t>_</m:t>
        </m:r>
        <m:r>
          <m:t>m</m:t>
        </m:r>
        <m:r>
          <m:t>o</m:t>
        </m:r>
        <m:r>
          <m:t>m</m:t>
        </m:r>
      </m:oMath>
      <w:r>
        <w:t xml:space="preserve">): Industry-adjusted momentum</w:t>
      </w:r>
    </w:p>
    <w:p>
      <w:pPr>
        <w:pStyle w:val="BodyText"/>
      </w:pPr>
      <m:oMathPara>
        <m:oMathParaPr>
          <m:jc m:val="center"/>
        </m:oMathParaPr>
        <m:oMath>
          <m:r>
            <m:t>i</m:t>
          </m:r>
          <m:r>
            <m:t>n</m:t>
          </m:r>
          <m:r>
            <m:t>d</m:t>
          </m:r>
          <m:r>
            <m:rPr>
              <m:sty m:val="p"/>
            </m:rPr>
            <m:t>_</m:t>
          </m:r>
          <m:r>
            <m:t>m</m:t>
          </m:r>
          <m:r>
            <m:t>o</m:t>
          </m:r>
          <m:sSub>
            <m:e>
              <m:r>
                <m:t>m</m:t>
              </m:r>
            </m:e>
            <m:sub>
              <m:r>
                <m:t>i</m:t>
              </m:r>
              <m:r>
                <m:rPr>
                  <m:sty m:val="p"/>
                </m:rPr>
                <m:t>,</m:t>
              </m:r>
              <m:r>
                <m:t>t</m:t>
              </m:r>
            </m:sub>
          </m:sSub>
          <m:r>
            <m:rPr>
              <m:sty m:val="p"/>
            </m:rPr>
            <m:t>=</m:t>
          </m:r>
          <m:sSub>
            <m:e>
              <m:r>
                <m:t>r</m:t>
              </m:r>
            </m:e>
            <m:sub>
              <m:r>
                <m:t>1</m:t>
              </m:r>
              <m:r>
                <m:t>m</m:t>
              </m:r>
              <m:r>
                <m:rPr>
                  <m:sty m:val="p"/>
                </m:rPr>
                <m:t>,</m:t>
              </m:r>
              <m:r>
                <m:t>i</m:t>
              </m:r>
              <m:r>
                <m:rPr>
                  <m:sty m:val="p"/>
                </m:rPr>
                <m:t>,</m:t>
              </m:r>
              <m:r>
                <m:t>t</m:t>
              </m:r>
            </m:sub>
          </m:sSub>
          <m:r>
            <m:rPr>
              <m:sty m:val="p"/>
            </m:rPr>
            <m:t>−</m:t>
          </m:r>
          <m:sSub>
            <m:e>
              <m:r>
                <m:t>r</m:t>
              </m:r>
            </m:e>
            <m:sub>
              <m:r>
                <m:t>1</m:t>
              </m:r>
              <m:r>
                <m:t>m</m:t>
              </m:r>
              <m:r>
                <m:rPr>
                  <m:sty m:val="p"/>
                </m:rPr>
                <m:t>,</m:t>
              </m:r>
              <m:r>
                <m:t>i</m:t>
              </m:r>
              <m:r>
                <m:t>n</m:t>
              </m:r>
              <m:r>
                <m:t>d</m:t>
              </m:r>
              <m:r>
                <m:rPr>
                  <m:sty m:val="p"/>
                </m:rPr>
                <m:t>(</m:t>
              </m:r>
              <m:r>
                <m:t>i</m:t>
              </m:r>
              <m:r>
                <m:rPr>
                  <m:sty m:val="p"/>
                </m:rPr>
                <m:t>)</m:t>
              </m:r>
              <m:r>
                <m:rPr>
                  <m:sty m:val="p"/>
                </m:rPr>
                <m:t>,</m:t>
              </m:r>
              <m:r>
                <m:t>t</m:t>
              </m:r>
            </m:sub>
          </m:sSub>
        </m:oMath>
      </m:oMathPara>
    </w:p>
    <w:p>
      <w:pPr>
        <w:numPr>
          <w:ilvl w:val="0"/>
          <w:numId w:val="1000"/>
        </w:numPr>
      </w:pPr>
      <w:r>
        <w:t xml:space="preserve">where</w:t>
      </w:r>
      <w:r>
        <w:t xml:space="preserve"> </w:t>
      </w:r>
      <m:oMath>
        <m:r>
          <m:t>i</m:t>
        </m:r>
        <m:r>
          <m:t>n</m:t>
        </m:r>
        <m:r>
          <m:t>d</m:t>
        </m:r>
        <m:r>
          <m:rPr>
            <m:sty m:val="p"/>
          </m:rPr>
          <m:t>(</m:t>
        </m:r>
        <m:r>
          <m:t>i</m:t>
        </m:r>
        <m:r>
          <m:rPr>
            <m:sty m:val="p"/>
          </m:rPr>
          <m:t>)</m:t>
        </m:r>
      </m:oMath>
      <w:r>
        <w:t xml:space="preserve"> </w:t>
      </w:r>
      <w:r>
        <w:t xml:space="preserve">denotes the industry index return for stock</w:t>
      </w:r>
      <w:r>
        <w:t xml:space="preserve"> </w:t>
      </w:r>
      <m:oMath>
        <m:r>
          <m:t>i</m:t>
        </m:r>
      </m:oMath>
      <w:r>
        <w:t xml:space="preserve">.</w:t>
      </w:r>
    </w:p>
    <w:p>
      <w:pPr>
        <w:numPr>
          <w:ilvl w:val="0"/>
          <w:numId w:val="1030"/>
        </w:numPr>
      </w:pPr>
      <w:r>
        <w:rPr>
          <w:b/>
          <w:bCs/>
        </w:rPr>
        <w:t xml:space="preserve">relative_strength</w:t>
      </w:r>
      <w:r>
        <w:t xml:space="preserve"> </w:t>
      </w:r>
      <w:r>
        <w:t xml:space="preserve">(</w:t>
      </w:r>
      <m:oMath>
        <m:r>
          <m:t>r</m:t>
        </m:r>
        <m:r>
          <m:t>e</m:t>
        </m:r>
        <m:r>
          <m:t>l</m:t>
        </m:r>
        <m:r>
          <m:rPr>
            <m:sty m:val="p"/>
          </m:rPr>
          <m:t>_</m:t>
        </m:r>
        <m:r>
          <m:t>s</m:t>
        </m:r>
        <m:r>
          <m:t>t</m:t>
        </m:r>
        <m:r>
          <m:t>r</m:t>
        </m:r>
      </m:oMath>
      <w:r>
        <w:t xml:space="preserve">): Relative strength index (RSI-style)</w:t>
      </w:r>
    </w:p>
    <w:p>
      <w:pPr>
        <w:pStyle w:val="BodyText"/>
      </w:pPr>
      <m:oMathPara>
        <m:oMathParaPr>
          <m:jc m:val="center"/>
        </m:oMathParaPr>
        <m:oMath>
          <m:r>
            <m:t>r</m:t>
          </m:r>
          <m:r>
            <m:t>e</m:t>
          </m:r>
          <m:r>
            <m:t>l</m:t>
          </m:r>
          <m:r>
            <m:rPr>
              <m:sty m:val="p"/>
            </m:rPr>
            <m:t>_</m:t>
          </m:r>
          <m:r>
            <m:t>s</m:t>
          </m:r>
          <m:r>
            <m:t>t</m:t>
          </m:r>
          <m:sSub>
            <m:e>
              <m:r>
                <m:t>r</m:t>
              </m:r>
            </m:e>
            <m:sub>
              <m:r>
                <m:t>i</m:t>
              </m:r>
              <m:r>
                <m:rPr>
                  <m:sty m:val="p"/>
                </m:rPr>
                <m:t>,</m:t>
              </m:r>
              <m:r>
                <m:t>t</m:t>
              </m:r>
            </m:sub>
          </m:sSub>
          <m:r>
            <m:rPr>
              <m:sty m:val="p"/>
            </m:rPr>
            <m:t>=</m:t>
          </m:r>
          <m:f>
            <m:fPr>
              <m:type m:val="bar"/>
            </m:fPr>
            <m:num>
              <m:nary>
                <m:naryPr>
                  <m:chr m:val="∑"/>
                  <m:limLoc m:val="undOvr"/>
                  <m:subHide m:val="off"/>
                  <m:supHide m:val="off"/>
                </m:naryPr>
                <m:sub>
                  <m:r>
                    <m:t>k</m:t>
                  </m:r>
                  <m:r>
                    <m:rPr>
                      <m:sty m:val="p"/>
                    </m:rPr>
                    <m:t>=</m:t>
                  </m:r>
                  <m:r>
                    <m:t>1</m:t>
                  </m:r>
                </m:sub>
                <m:sup>
                  <m:r>
                    <m:t>20</m:t>
                  </m:r>
                </m:sup>
                <m:e>
                  <m:r>
                    <m:rPr>
                      <m:sty m:val="p"/>
                    </m:rPr>
                    <m:t>max</m:t>
                  </m:r>
                </m:e>
              </m:nary>
              <m:r>
                <m:rPr>
                  <m:sty m:val="p"/>
                </m:rPr>
                <m:t>(</m:t>
              </m:r>
              <m:r>
                <m:t>0</m:t>
              </m:r>
              <m:r>
                <m:rPr>
                  <m:sty m:val="p"/>
                </m:rPr>
                <m:t>,</m:t>
              </m:r>
              <m:sSub>
                <m:e>
                  <m:r>
                    <m:t>r</m:t>
                  </m:r>
                </m:e>
                <m:sub>
                  <m:r>
                    <m:t>i</m:t>
                  </m:r>
                  <m:r>
                    <m:rPr>
                      <m:sty m:val="p"/>
                    </m:rPr>
                    <m:t>,</m:t>
                  </m:r>
                  <m:r>
                    <m:t>t</m:t>
                  </m:r>
                  <m:r>
                    <m:rPr>
                      <m:sty m:val="p"/>
                    </m:rPr>
                    <m:t>−</m:t>
                  </m:r>
                  <m:r>
                    <m:t>k</m:t>
                  </m:r>
                </m:sub>
              </m:sSub>
              <m:r>
                <m:rPr>
                  <m:sty m:val="p"/>
                </m:rPr>
                <m:t>)</m:t>
              </m:r>
            </m:num>
            <m:den>
              <m:nary>
                <m:naryPr>
                  <m:chr m:val="∑"/>
                  <m:limLoc m:val="undOvr"/>
                  <m:subHide m:val="off"/>
                  <m:supHide m:val="off"/>
                </m:naryPr>
                <m:sub>
                  <m:r>
                    <m:t>k</m:t>
                  </m:r>
                  <m:r>
                    <m:rPr>
                      <m:sty m:val="p"/>
                    </m:rPr>
                    <m:t>=</m:t>
                  </m:r>
                  <m:r>
                    <m:t>1</m:t>
                  </m:r>
                </m:sub>
                <m:sup>
                  <m:r>
                    <m:t>20</m:t>
                  </m:r>
                </m:sup>
                <m:e>
                  <m:r>
                    <m:rPr>
                      <m:sty m:val="p"/>
                    </m:rPr>
                    <m:t>|</m:t>
                  </m:r>
                </m:e>
              </m:nary>
              <m:sSub>
                <m:e>
                  <m:r>
                    <m:t>r</m:t>
                  </m:r>
                </m:e>
                <m:sub>
                  <m:r>
                    <m:t>i</m:t>
                  </m:r>
                  <m:r>
                    <m:rPr>
                      <m:sty m:val="p"/>
                    </m:rPr>
                    <m:t>,</m:t>
                  </m:r>
                  <m:r>
                    <m:t>t</m:t>
                  </m:r>
                  <m:r>
                    <m:rPr>
                      <m:sty m:val="p"/>
                    </m:rPr>
                    <m:t>−</m:t>
                  </m:r>
                  <m:r>
                    <m:t>k</m:t>
                  </m:r>
                </m:sub>
              </m:sSub>
              <m:r>
                <m:rPr>
                  <m:sty m:val="p"/>
                </m:rPr>
                <m:t>|</m:t>
              </m:r>
            </m:den>
          </m:f>
        </m:oMath>
      </m:oMathPara>
    </w:p>
    <w:bookmarkEnd w:id="91"/>
    <w:bookmarkStart w:id="92" w:name="liquidity-factors-4-factors"/>
    <w:p>
      <w:pPr>
        <w:pStyle w:val="Heading2"/>
      </w:pPr>
      <w:r>
        <w:t xml:space="preserve">Liquidity Factors (4 factors)</w:t>
      </w:r>
    </w:p>
    <w:p>
      <w:pPr>
        <w:numPr>
          <w:ilvl w:val="0"/>
          <w:numId w:val="1031"/>
        </w:numPr>
      </w:pPr>
      <w:r>
        <w:rPr>
          <w:b/>
          <w:bCs/>
        </w:rPr>
        <w:t xml:space="preserve">amihud_illiq</w:t>
      </w:r>
      <w:r>
        <w:t xml:space="preserve"> </w:t>
      </w:r>
      <w:r>
        <w:t xml:space="preserve">(</w:t>
      </w:r>
      <m:oMath>
        <m:r>
          <m:t>i</m:t>
        </m:r>
        <m:r>
          <m:t>l</m:t>
        </m:r>
        <m:r>
          <m:t>l</m:t>
        </m:r>
        <m:r>
          <m:t>i</m:t>
        </m:r>
        <m:r>
          <m:t>q</m:t>
        </m:r>
      </m:oMath>
      <w:r>
        <w:t xml:space="preserve">): Amihud illiquidity measure</w:t>
      </w:r>
    </w:p>
    <w:p>
      <w:pPr>
        <w:pStyle w:val="BodyText"/>
      </w:pPr>
      <m:oMathPara>
        <m:oMathParaPr>
          <m:jc m:val="center"/>
        </m:oMathParaPr>
        <m:oMath>
          <m:r>
            <m:t>i</m:t>
          </m:r>
          <m:r>
            <m:t>l</m:t>
          </m:r>
          <m:r>
            <m:t>l</m:t>
          </m:r>
          <m:r>
            <m:t>i</m:t>
          </m:r>
          <m:sSub>
            <m:e>
              <m:r>
                <m:t>q</m:t>
              </m:r>
            </m:e>
            <m:sub>
              <m:r>
                <m:t>i</m:t>
              </m:r>
              <m:r>
                <m:rPr>
                  <m:sty m:val="p"/>
                </m:rPr>
                <m:t>,</m:t>
              </m:r>
              <m:r>
                <m:t>t</m:t>
              </m:r>
            </m:sub>
          </m:sSub>
          <m:r>
            <m:rPr>
              <m:sty m:val="p"/>
            </m:rPr>
            <m:t>=</m:t>
          </m:r>
          <m:f>
            <m:fPr>
              <m:type m:val="bar"/>
            </m:fPr>
            <m:num>
              <m:r>
                <m:t>1</m:t>
              </m:r>
            </m:num>
            <m:den>
              <m:r>
                <m:t>20</m:t>
              </m:r>
            </m:den>
          </m:f>
          <m:nary>
            <m:naryPr>
              <m:chr m:val="∑"/>
              <m:limLoc m:val="undOvr"/>
              <m:subHide m:val="off"/>
              <m:supHide m:val="off"/>
            </m:naryPr>
            <m:sub>
              <m:r>
                <m:t>k</m:t>
              </m:r>
              <m:r>
                <m:rPr>
                  <m:sty m:val="p"/>
                </m:rPr>
                <m:t>=</m:t>
              </m:r>
              <m:r>
                <m:t>1</m:t>
              </m:r>
            </m:sub>
            <m:sup>
              <m:r>
                <m:t>20</m:t>
              </m:r>
            </m:sup>
            <m:e>
              <m:f>
                <m:fPr>
                  <m:type m:val="bar"/>
                </m:fPr>
                <m:num>
                  <m:r>
                    <m:rPr>
                      <m:sty m:val="p"/>
                    </m:rPr>
                    <m:t>|</m:t>
                  </m:r>
                  <m:sSub>
                    <m:e>
                      <m:r>
                        <m:t>r</m:t>
                      </m:r>
                    </m:e>
                    <m:sub>
                      <m:r>
                        <m:t>i</m:t>
                      </m:r>
                      <m:r>
                        <m:rPr>
                          <m:sty m:val="p"/>
                        </m:rPr>
                        <m:t>,</m:t>
                      </m:r>
                      <m:r>
                        <m:t>t</m:t>
                      </m:r>
                      <m:r>
                        <m:rPr>
                          <m:sty m:val="p"/>
                        </m:rPr>
                        <m:t>−</m:t>
                      </m:r>
                      <m:r>
                        <m:t>k</m:t>
                      </m:r>
                    </m:sub>
                  </m:sSub>
                  <m:r>
                    <m:rPr>
                      <m:sty m:val="p"/>
                    </m:rPr>
                    <m:t>|</m:t>
                  </m:r>
                </m:num>
                <m:den>
                  <m:r>
                    <m:t>V</m:t>
                  </m:r>
                  <m:r>
                    <m:t>O</m:t>
                  </m:r>
                  <m:sSub>
                    <m:e>
                      <m:r>
                        <m:t>L</m:t>
                      </m:r>
                    </m:e>
                    <m:sub>
                      <m:r>
                        <m:t>i</m:t>
                      </m:r>
                      <m:r>
                        <m:rPr>
                          <m:sty m:val="p"/>
                        </m:rPr>
                        <m:t>,</m:t>
                      </m:r>
                      <m:r>
                        <m:t>t</m:t>
                      </m:r>
                      <m:r>
                        <m:rPr>
                          <m:sty m:val="p"/>
                        </m:rPr>
                        <m:t>−</m:t>
                      </m:r>
                      <m:r>
                        <m:t>k</m:t>
                      </m:r>
                    </m:sub>
                  </m:sSub>
                </m:den>
              </m:f>
            </m:e>
          </m:nary>
        </m:oMath>
      </m:oMathPara>
    </w:p>
    <w:p>
      <w:pPr>
        <w:numPr>
          <w:ilvl w:val="0"/>
          <w:numId w:val="1000"/>
        </w:numPr>
      </w:pPr>
      <w:r>
        <w:t xml:space="preserve">where</w:t>
      </w:r>
      <w:r>
        <w:t xml:space="preserve"> </w:t>
      </w:r>
      <m:oMath>
        <m:r>
          <m:t>V</m:t>
        </m:r>
        <m:r>
          <m:t>O</m:t>
        </m:r>
        <m:r>
          <m:t>L</m:t>
        </m:r>
      </m:oMath>
      <w:r>
        <w:t xml:space="preserve"> </w:t>
      </w:r>
      <w:r>
        <w:t xml:space="preserve">is daily trading volume in CNY.</w:t>
      </w:r>
    </w:p>
    <w:p>
      <w:pPr>
        <w:numPr>
          <w:ilvl w:val="0"/>
          <w:numId w:val="1031"/>
        </w:numPr>
      </w:pPr>
      <w:r>
        <w:rPr>
          <w:b/>
          <w:bCs/>
        </w:rPr>
        <w:t xml:space="preserve">turnover_vol</w:t>
      </w:r>
      <w:r>
        <w:t xml:space="preserve"> </w:t>
      </w:r>
      <w:r>
        <w:t xml:space="preserve">(</w:t>
      </w:r>
      <m:oMath>
        <m:r>
          <m:t>t</m:t>
        </m:r>
        <m:r>
          <m:t>o</m:t>
        </m:r>
        <m:r>
          <m:t>v</m:t>
        </m:r>
      </m:oMath>
      <w:r>
        <w:t xml:space="preserve">): Turnover volatility</w:t>
      </w:r>
    </w:p>
    <w:p>
      <w:pPr>
        <w:pStyle w:val="BodyText"/>
      </w:pPr>
      <m:oMathPara>
        <m:oMathParaPr>
          <m:jc m:val="center"/>
        </m:oMathParaPr>
        <m:oMath>
          <m:r>
            <m:t>t</m:t>
          </m:r>
          <m:r>
            <m:t>o</m:t>
          </m:r>
          <m:sSub>
            <m:e>
              <m:r>
                <m:t>v</m:t>
              </m:r>
            </m:e>
            <m:sub>
              <m:r>
                <m:t>i</m:t>
              </m:r>
              <m:r>
                <m:rPr>
                  <m:sty m:val="p"/>
                </m:rPr>
                <m:t>,</m:t>
              </m:r>
              <m:r>
                <m:t>t</m:t>
              </m:r>
            </m:sub>
          </m:sSub>
          <m:r>
            <m:rPr>
              <m:sty m:val="p"/>
            </m:rPr>
            <m:t>=</m:t>
          </m:r>
          <m:sSub>
            <m:e>
              <m:r>
                <m:rPr>
                  <m:nor/>
                  <m:sty m:val="p"/>
                </m:rPr>
                <m:t>Std</m:t>
              </m:r>
            </m:e>
            <m:sub>
              <m:r>
                <m:t>20</m:t>
              </m:r>
            </m:sub>
          </m:sSub>
          <m:d>
            <m:dPr>
              <m:begChr m:val="("/>
              <m:sepChr m:val=""/>
              <m:endChr m:val=")"/>
              <m:grow/>
            </m:dPr>
            <m:e>
              <m:f>
                <m:fPr>
                  <m:type m:val="bar"/>
                </m:fPr>
                <m:num>
                  <m:r>
                    <m:t>V</m:t>
                  </m:r>
                  <m:r>
                    <m:t>O</m:t>
                  </m:r>
                  <m:sSub>
                    <m:e>
                      <m:r>
                        <m:t>L</m:t>
                      </m:r>
                    </m:e>
                    <m:sub>
                      <m:r>
                        <m:t>i</m:t>
                      </m:r>
                      <m:r>
                        <m:rPr>
                          <m:sty m:val="p"/>
                        </m:rPr>
                        <m:t>,</m:t>
                      </m:r>
                      <m:r>
                        <m:t>t</m:t>
                      </m:r>
                    </m:sub>
                  </m:sSub>
                </m:num>
                <m:den>
                  <m:r>
                    <m:t>S</m:t>
                  </m:r>
                  <m:r>
                    <m:t>H</m:t>
                  </m:r>
                  <m:r>
                    <m:t>A</m:t>
                  </m:r>
                  <m:r>
                    <m:t>R</m:t>
                  </m:r>
                  <m:r>
                    <m:t>E</m:t>
                  </m:r>
                  <m:sSub>
                    <m:e>
                      <m:r>
                        <m:t>S</m:t>
                      </m:r>
                    </m:e>
                    <m:sub>
                      <m:r>
                        <m:t>i</m:t>
                      </m:r>
                    </m:sub>
                  </m:sSub>
                </m:den>
              </m:f>
            </m:e>
          </m:d>
        </m:oMath>
      </m:oMathPara>
    </w:p>
    <w:p>
      <w:pPr>
        <w:numPr>
          <w:ilvl w:val="0"/>
          <w:numId w:val="1031"/>
        </w:numPr>
      </w:pPr>
      <w:r>
        <w:rPr>
          <w:b/>
          <w:bCs/>
        </w:rPr>
        <w:t xml:space="preserve">bidask_spread</w:t>
      </w:r>
      <w:r>
        <w:t xml:space="preserve"> </w:t>
      </w:r>
      <w:r>
        <w:t xml:space="preserve">(</w:t>
      </w:r>
      <m:oMath>
        <m:r>
          <m:t>s</m:t>
        </m:r>
        <m:r>
          <m:t>p</m:t>
        </m:r>
        <m:r>
          <m:t>r</m:t>
        </m:r>
        <m:r>
          <m:t>e</m:t>
        </m:r>
        <m:r>
          <m:t>a</m:t>
        </m:r>
        <m:r>
          <m:t>d</m:t>
        </m:r>
      </m:oMath>
      <w:r>
        <w:t xml:space="preserve">): Estimated bid-ask spread (high-low proxy)</w:t>
      </w:r>
    </w:p>
    <w:p>
      <w:pPr>
        <w:pStyle w:val="BodyText"/>
      </w:pPr>
      <m:oMathPara>
        <m:oMathParaPr>
          <m:jc m:val="center"/>
        </m:oMathParaPr>
        <m:oMath>
          <m:r>
            <m:t>s</m:t>
          </m:r>
          <m:r>
            <m:t>p</m:t>
          </m:r>
          <m:r>
            <m:t>r</m:t>
          </m:r>
          <m:r>
            <m:t>e</m:t>
          </m:r>
          <m:r>
            <m:t>a</m:t>
          </m:r>
          <m:sSub>
            <m:e>
              <m:r>
                <m:t>d</m:t>
              </m:r>
            </m:e>
            <m:sub>
              <m:r>
                <m:t>i</m:t>
              </m:r>
              <m:r>
                <m:rPr>
                  <m:sty m:val="p"/>
                </m:rPr>
                <m:t>,</m:t>
              </m:r>
              <m:r>
                <m:t>t</m:t>
              </m:r>
            </m:sub>
          </m:sSub>
          <m:r>
            <m:rPr>
              <m:sty m:val="p"/>
            </m:rPr>
            <m:t>=</m:t>
          </m:r>
          <m:f>
            <m:fPr>
              <m:type m:val="bar"/>
            </m:fPr>
            <m:num>
              <m:r>
                <m:t>1</m:t>
              </m:r>
            </m:num>
            <m:den>
              <m:r>
                <m:t>20</m:t>
              </m:r>
            </m:den>
          </m:f>
          <m:nary>
            <m:naryPr>
              <m:chr m:val="∑"/>
              <m:limLoc m:val="undOvr"/>
              <m:subHide m:val="off"/>
              <m:supHide m:val="off"/>
            </m:naryPr>
            <m:sub>
              <m:r>
                <m:t>k</m:t>
              </m:r>
              <m:r>
                <m:rPr>
                  <m:sty m:val="p"/>
                </m:rPr>
                <m:t>=</m:t>
              </m:r>
              <m:r>
                <m:t>1</m:t>
              </m:r>
            </m:sub>
            <m:sup>
              <m:r>
                <m:t>20</m:t>
              </m:r>
            </m:sup>
            <m:e>
              <m:f>
                <m:fPr>
                  <m:type m:val="bar"/>
                </m:fPr>
                <m:num>
                  <m:sSub>
                    <m:e>
                      <m:r>
                        <m:t>H</m:t>
                      </m:r>
                    </m:e>
                    <m:sub>
                      <m:r>
                        <m:t>i</m:t>
                      </m:r>
                      <m:r>
                        <m:rPr>
                          <m:sty m:val="p"/>
                        </m:rPr>
                        <m:t>,</m:t>
                      </m:r>
                      <m:r>
                        <m:t>t</m:t>
                      </m:r>
                      <m:r>
                        <m:rPr>
                          <m:sty m:val="p"/>
                        </m:rPr>
                        <m:t>−</m:t>
                      </m:r>
                      <m:r>
                        <m:t>k</m:t>
                      </m:r>
                    </m:sub>
                  </m:sSub>
                  <m:r>
                    <m:rPr>
                      <m:sty m:val="p"/>
                    </m:rPr>
                    <m:t>−</m:t>
                  </m:r>
                  <m:sSub>
                    <m:e>
                      <m:r>
                        <m:t>L</m:t>
                      </m:r>
                    </m:e>
                    <m:sub>
                      <m:r>
                        <m:t>i</m:t>
                      </m:r>
                      <m:r>
                        <m:rPr>
                          <m:sty m:val="p"/>
                        </m:rPr>
                        <m:t>,</m:t>
                      </m:r>
                      <m:r>
                        <m:t>t</m:t>
                      </m:r>
                      <m:r>
                        <m:rPr>
                          <m:sty m:val="p"/>
                        </m:rPr>
                        <m:t>−</m:t>
                      </m:r>
                      <m:r>
                        <m:t>k</m:t>
                      </m:r>
                    </m:sub>
                  </m:sSub>
                </m:num>
                <m:den>
                  <m:r>
                    <m:rPr>
                      <m:sty m:val="p"/>
                    </m:rPr>
                    <m:t>(</m:t>
                  </m:r>
                  <m:sSub>
                    <m:e>
                      <m:r>
                        <m:t>H</m:t>
                      </m:r>
                    </m:e>
                    <m:sub>
                      <m:r>
                        <m:t>i</m:t>
                      </m:r>
                      <m:r>
                        <m:rPr>
                          <m:sty m:val="p"/>
                        </m:rPr>
                        <m:t>,</m:t>
                      </m:r>
                      <m:r>
                        <m:t>t</m:t>
                      </m:r>
                      <m:r>
                        <m:rPr>
                          <m:sty m:val="p"/>
                        </m:rPr>
                        <m:t>−</m:t>
                      </m:r>
                      <m:r>
                        <m:t>k</m:t>
                      </m:r>
                    </m:sub>
                  </m:sSub>
                  <m:r>
                    <m:rPr>
                      <m:sty m:val="p"/>
                    </m:rPr>
                    <m:t>+</m:t>
                  </m:r>
                  <m:sSub>
                    <m:e>
                      <m:r>
                        <m:t>L</m:t>
                      </m:r>
                    </m:e>
                    <m:sub>
                      <m:r>
                        <m:t>i</m:t>
                      </m:r>
                      <m:r>
                        <m:rPr>
                          <m:sty m:val="p"/>
                        </m:rPr>
                        <m:t>,</m:t>
                      </m:r>
                      <m:r>
                        <m:t>t</m:t>
                      </m:r>
                      <m:r>
                        <m:rPr>
                          <m:sty m:val="p"/>
                        </m:rPr>
                        <m:t>−</m:t>
                      </m:r>
                      <m:r>
                        <m:t>k</m:t>
                      </m:r>
                    </m:sub>
                  </m:sSub>
                  <m:r>
                    <m:rPr>
                      <m:sty m:val="p"/>
                    </m:rPr>
                    <m:t>)</m:t>
                  </m:r>
                  <m:r>
                    <m:rPr>
                      <m:sty m:val="p"/>
                    </m:rPr>
                    <m:t>/</m:t>
                  </m:r>
                  <m:r>
                    <m:t>2</m:t>
                  </m:r>
                </m:den>
              </m:f>
            </m:e>
          </m:nary>
        </m:oMath>
      </m:oMathPara>
    </w:p>
    <w:p>
      <w:pPr>
        <w:numPr>
          <w:ilvl w:val="0"/>
          <w:numId w:val="1031"/>
        </w:numPr>
      </w:pPr>
      <w:r>
        <w:rPr>
          <w:b/>
          <w:bCs/>
        </w:rPr>
        <w:t xml:space="preserve">turnover_rate</w:t>
      </w:r>
      <w:r>
        <w:t xml:space="preserve"> </w:t>
      </w:r>
      <w:r>
        <w:t xml:space="preserve">(</w:t>
      </w:r>
      <m:oMath>
        <m:r>
          <m:t>t</m:t>
        </m:r>
        <m:r>
          <m:t>u</m:t>
        </m:r>
        <m:r>
          <m:t>r</m:t>
        </m:r>
        <m:r>
          <m:t>n</m:t>
        </m:r>
      </m:oMath>
      <w:r>
        <w:t xml:space="preserve">): 20-day average turnover rate</w:t>
      </w:r>
    </w:p>
    <w:p>
      <w:pPr>
        <w:pStyle w:val="BodyText"/>
      </w:pPr>
      <m:oMathPara>
        <m:oMathParaPr>
          <m:jc m:val="center"/>
        </m:oMathParaPr>
        <m:oMath>
          <m:r>
            <m:t>t</m:t>
          </m:r>
          <m:r>
            <m:t>u</m:t>
          </m:r>
          <m:r>
            <m:t>r</m:t>
          </m:r>
          <m:sSub>
            <m:e>
              <m:r>
                <m:t>n</m:t>
              </m:r>
            </m:e>
            <m:sub>
              <m:r>
                <m:t>i</m:t>
              </m:r>
              <m:r>
                <m:rPr>
                  <m:sty m:val="p"/>
                </m:rPr>
                <m:t>,</m:t>
              </m:r>
              <m:r>
                <m:t>t</m:t>
              </m:r>
            </m:sub>
          </m:sSub>
          <m:r>
            <m:rPr>
              <m:sty m:val="p"/>
            </m:rPr>
            <m:t>=</m:t>
          </m:r>
          <m:f>
            <m:fPr>
              <m:type m:val="bar"/>
            </m:fPr>
            <m:num>
              <m:r>
                <m:t>1</m:t>
              </m:r>
            </m:num>
            <m:den>
              <m:r>
                <m:t>20</m:t>
              </m:r>
            </m:den>
          </m:f>
          <m:nary>
            <m:naryPr>
              <m:chr m:val="∑"/>
              <m:limLoc m:val="undOvr"/>
              <m:subHide m:val="off"/>
              <m:supHide m:val="off"/>
            </m:naryPr>
            <m:sub>
              <m:r>
                <m:t>k</m:t>
              </m:r>
              <m:r>
                <m:rPr>
                  <m:sty m:val="p"/>
                </m:rPr>
                <m:t>=</m:t>
              </m:r>
              <m:r>
                <m:t>1</m:t>
              </m:r>
            </m:sub>
            <m:sup>
              <m:r>
                <m:t>20</m:t>
              </m:r>
            </m:sup>
            <m:e>
              <m:f>
                <m:fPr>
                  <m:type m:val="bar"/>
                </m:fPr>
                <m:num>
                  <m:r>
                    <m:t>V</m:t>
                  </m:r>
                  <m:r>
                    <m:t>O</m:t>
                  </m:r>
                  <m:sSub>
                    <m:e>
                      <m:r>
                        <m:t>L</m:t>
                      </m:r>
                    </m:e>
                    <m:sub>
                      <m:r>
                        <m:t>i</m:t>
                      </m:r>
                      <m:r>
                        <m:rPr>
                          <m:sty m:val="p"/>
                        </m:rPr>
                        <m:t>,</m:t>
                      </m:r>
                      <m:r>
                        <m:t>t</m:t>
                      </m:r>
                      <m:r>
                        <m:rPr>
                          <m:sty m:val="p"/>
                        </m:rPr>
                        <m:t>−</m:t>
                      </m:r>
                      <m:r>
                        <m:t>k</m:t>
                      </m:r>
                    </m:sub>
                  </m:sSub>
                </m:num>
                <m:den>
                  <m:r>
                    <m:t>S</m:t>
                  </m:r>
                  <m:r>
                    <m:t>H</m:t>
                  </m:r>
                  <m:r>
                    <m:t>A</m:t>
                  </m:r>
                  <m:r>
                    <m:t>R</m:t>
                  </m:r>
                  <m:r>
                    <m:t>E</m:t>
                  </m:r>
                  <m:sSub>
                    <m:e>
                      <m:r>
                        <m:t>S</m:t>
                      </m:r>
                    </m:e>
                    <m:sub>
                      <m:r>
                        <m:t>i</m:t>
                      </m:r>
                    </m:sub>
                  </m:sSub>
                </m:den>
              </m:f>
            </m:e>
          </m:nary>
        </m:oMath>
      </m:oMathPara>
    </w:p>
    <w:bookmarkEnd w:id="92"/>
    <w:bookmarkStart w:id="93" w:name="quality-factors-8-factors"/>
    <w:p>
      <w:pPr>
        <w:pStyle w:val="Heading2"/>
      </w:pPr>
      <w:r>
        <w:t xml:space="preserve">Quality Factors (8 factors)</w:t>
      </w:r>
    </w:p>
    <w:p>
      <w:pPr>
        <w:pStyle w:val="FirstParagraph"/>
      </w:pPr>
      <w:r>
        <w:t xml:space="preserve">Quality factors require fundamental data from quarterly financial statements. All ratios are computed using most recent quarterly data.</w:t>
      </w:r>
    </w:p>
    <w:p>
      <w:pPr>
        <w:numPr>
          <w:ilvl w:val="0"/>
          <w:numId w:val="1032"/>
        </w:numPr>
      </w:pPr>
      <w:r>
        <w:rPr>
          <w:b/>
          <w:bCs/>
        </w:rPr>
        <w:t xml:space="preserve">roe</w:t>
      </w:r>
      <w:r>
        <w:t xml:space="preserve">: Return on equity</w:t>
      </w:r>
    </w:p>
    <w:p>
      <w:pPr>
        <w:pStyle w:val="BodyText"/>
      </w:pPr>
      <m:oMathPara>
        <m:oMathParaPr>
          <m:jc m:val="center"/>
        </m:oMathParaPr>
        <m:oMath>
          <m:r>
            <m:t>r</m:t>
          </m:r>
          <m:r>
            <m:t>o</m:t>
          </m:r>
          <m:sSub>
            <m:e>
              <m:r>
                <m:t>e</m:t>
              </m:r>
            </m:e>
            <m:sub>
              <m:r>
                <m:t>i</m:t>
              </m:r>
              <m:r>
                <m:rPr>
                  <m:sty m:val="p"/>
                </m:rPr>
                <m:t>,</m:t>
              </m:r>
              <m:r>
                <m:t>t</m:t>
              </m:r>
            </m:sub>
          </m:sSub>
          <m:r>
            <m:rPr>
              <m:sty m:val="p"/>
            </m:rPr>
            <m:t>=</m:t>
          </m:r>
          <m:f>
            <m:fPr>
              <m:type m:val="bar"/>
            </m:fPr>
            <m:num>
              <m:r>
                <m:t>N</m:t>
              </m:r>
              <m:r>
                <m:t>e</m:t>
              </m:r>
              <m:r>
                <m:t>t</m:t>
              </m:r>
              <m:r>
                <m:t>I</m:t>
              </m:r>
              <m:r>
                <m:t>n</m:t>
              </m:r>
              <m:r>
                <m:t>c</m:t>
              </m:r>
              <m:r>
                <m:t>o</m:t>
              </m:r>
              <m:r>
                <m:t>m</m:t>
              </m:r>
              <m:sSub>
                <m:e>
                  <m:r>
                    <m:t>e</m:t>
                  </m:r>
                </m:e>
                <m:sub>
                  <m:r>
                    <m:t>i</m:t>
                  </m:r>
                  <m:r>
                    <m:rPr>
                      <m:sty m:val="p"/>
                    </m:rPr>
                    <m:t>,</m:t>
                  </m:r>
                  <m:r>
                    <m:t>t</m:t>
                  </m:r>
                </m:sub>
              </m:sSub>
            </m:num>
            <m:den>
              <m:r>
                <m:t>E</m:t>
              </m:r>
              <m:r>
                <m:t>q</m:t>
              </m:r>
              <m:r>
                <m:t>u</m:t>
              </m:r>
              <m:r>
                <m:t>i</m:t>
              </m:r>
              <m:r>
                <m:t>t</m:t>
              </m:r>
              <m:sSub>
                <m:e>
                  <m:r>
                    <m:t>y</m:t>
                  </m:r>
                </m:e>
                <m:sub>
                  <m:r>
                    <m:t>i</m:t>
                  </m:r>
                  <m:r>
                    <m:rPr>
                      <m:sty m:val="p"/>
                    </m:rPr>
                    <m:t>,</m:t>
                  </m:r>
                  <m:r>
                    <m:t>t</m:t>
                  </m:r>
                </m:sub>
              </m:sSub>
            </m:den>
          </m:f>
        </m:oMath>
      </m:oMathPara>
    </w:p>
    <w:p>
      <w:pPr>
        <w:numPr>
          <w:ilvl w:val="0"/>
          <w:numId w:val="1032"/>
        </w:numPr>
      </w:pPr>
      <w:r>
        <w:rPr>
          <w:b/>
          <w:bCs/>
        </w:rPr>
        <w:t xml:space="preserve">roa</w:t>
      </w:r>
      <w:r>
        <w:t xml:space="preserve">: Return on assets</w:t>
      </w:r>
    </w:p>
    <w:p>
      <w:pPr>
        <w:pStyle w:val="BodyText"/>
      </w:pPr>
      <m:oMathPara>
        <m:oMathParaPr>
          <m:jc m:val="center"/>
        </m:oMathParaPr>
        <m:oMath>
          <m:r>
            <m:t>r</m:t>
          </m:r>
          <m:r>
            <m:t>o</m:t>
          </m:r>
          <m:sSub>
            <m:e>
              <m:r>
                <m:t>a</m:t>
              </m:r>
            </m:e>
            <m:sub>
              <m:r>
                <m:t>i</m:t>
              </m:r>
              <m:r>
                <m:rPr>
                  <m:sty m:val="p"/>
                </m:rPr>
                <m:t>,</m:t>
              </m:r>
              <m:r>
                <m:t>t</m:t>
              </m:r>
            </m:sub>
          </m:sSub>
          <m:r>
            <m:rPr>
              <m:sty m:val="p"/>
            </m:rPr>
            <m:t>=</m:t>
          </m:r>
          <m:f>
            <m:fPr>
              <m:type m:val="bar"/>
            </m:fPr>
            <m:num>
              <m:r>
                <m:t>N</m:t>
              </m:r>
              <m:r>
                <m:t>e</m:t>
              </m:r>
              <m:r>
                <m:t>t</m:t>
              </m:r>
              <m:r>
                <m:t>I</m:t>
              </m:r>
              <m:r>
                <m:t>n</m:t>
              </m:r>
              <m:r>
                <m:t>c</m:t>
              </m:r>
              <m:r>
                <m:t>o</m:t>
              </m:r>
              <m:r>
                <m:t>m</m:t>
              </m:r>
              <m:sSub>
                <m:e>
                  <m:r>
                    <m:t>e</m:t>
                  </m:r>
                </m:e>
                <m:sub>
                  <m:r>
                    <m:t>i</m:t>
                  </m:r>
                  <m:r>
                    <m:rPr>
                      <m:sty m:val="p"/>
                    </m:rPr>
                    <m:t>,</m:t>
                  </m:r>
                  <m:r>
                    <m:t>t</m:t>
                  </m:r>
                </m:sub>
              </m:sSub>
            </m:num>
            <m:den>
              <m:r>
                <m:t>A</m:t>
              </m:r>
              <m:r>
                <m:t>s</m:t>
              </m:r>
              <m:r>
                <m:t>s</m:t>
              </m:r>
              <m:r>
                <m:t>e</m:t>
              </m:r>
              <m:r>
                <m:t>t</m:t>
              </m:r>
              <m:sSub>
                <m:e>
                  <m:r>
                    <m:t>s</m:t>
                  </m:r>
                </m:e>
                <m:sub>
                  <m:r>
                    <m:t>i</m:t>
                  </m:r>
                  <m:r>
                    <m:rPr>
                      <m:sty m:val="p"/>
                    </m:rPr>
                    <m:t>,</m:t>
                  </m:r>
                  <m:r>
                    <m:t>t</m:t>
                  </m:r>
                </m:sub>
              </m:sSub>
            </m:den>
          </m:f>
        </m:oMath>
      </m:oMathPara>
    </w:p>
    <w:p>
      <w:pPr>
        <w:numPr>
          <w:ilvl w:val="0"/>
          <w:numId w:val="1032"/>
        </w:numPr>
      </w:pPr>
      <w:r>
        <w:rPr>
          <w:b/>
          <w:bCs/>
        </w:rPr>
        <w:t xml:space="preserve">roe_stability</w:t>
      </w:r>
      <w:r>
        <w:t xml:space="preserve"> </w:t>
      </w:r>
      <w:r>
        <w:t xml:space="preserve">(</w:t>
      </w:r>
      <m:oMath>
        <m:r>
          <m:t>r</m:t>
        </m:r>
        <m:r>
          <m:t>o</m:t>
        </m:r>
        <m:r>
          <m:t>e</m:t>
        </m:r>
        <m:r>
          <m:rPr>
            <m:sty m:val="p"/>
          </m:rPr>
          <m:t>_</m:t>
        </m:r>
        <m:r>
          <m:t>s</m:t>
        </m:r>
        <m:r>
          <m:t>t</m:t>
        </m:r>
        <m:r>
          <m:t>a</m:t>
        </m:r>
        <m:r>
          <m:t>b</m:t>
        </m:r>
      </m:oMath>
      <w:r>
        <w:t xml:space="preserve">): ROE standard deviation over 8 quarters</w:t>
      </w:r>
    </w:p>
    <w:p>
      <w:pPr>
        <w:pStyle w:val="BodyText"/>
      </w:pPr>
      <m:oMathPara>
        <m:oMathParaPr>
          <m:jc m:val="center"/>
        </m:oMathParaPr>
        <m:oMath>
          <m:r>
            <m:t>r</m:t>
          </m:r>
          <m:r>
            <m:t>o</m:t>
          </m:r>
          <m:r>
            <m:t>e</m:t>
          </m:r>
          <m:r>
            <m:rPr>
              <m:sty m:val="p"/>
            </m:rPr>
            <m:t>_</m:t>
          </m:r>
          <m:r>
            <m:t>s</m:t>
          </m:r>
          <m:r>
            <m:t>t</m:t>
          </m:r>
          <m:r>
            <m:t>a</m:t>
          </m:r>
          <m:sSub>
            <m:e>
              <m:r>
                <m:t>b</m:t>
              </m:r>
            </m:e>
            <m:sub>
              <m:r>
                <m:t>i</m:t>
              </m:r>
              <m:r>
                <m:rPr>
                  <m:sty m:val="p"/>
                </m:rPr>
                <m:t>,</m:t>
              </m:r>
              <m:r>
                <m:t>t</m:t>
              </m:r>
            </m:sub>
          </m:sSub>
          <m:r>
            <m:rPr>
              <m:sty m:val="p"/>
            </m:rPr>
            <m:t>=</m:t>
          </m:r>
          <m:r>
            <m:rPr>
              <m:sty m:val="p"/>
            </m:rPr>
            <m:t>−</m:t>
          </m:r>
          <m:sSub>
            <m:e>
              <m:r>
                <m:rPr>
                  <m:nor/>
                  <m:sty m:val="p"/>
                </m:rPr>
                <m:t>Std</m:t>
              </m:r>
            </m:e>
            <m:sub>
              <m:r>
                <m:t>8</m:t>
              </m:r>
              <m:r>
                <m:t>Q</m:t>
              </m:r>
            </m:sub>
          </m:sSub>
          <m:r>
            <m:rPr>
              <m:sty m:val="p"/>
            </m:rPr>
            <m:t>(</m:t>
          </m:r>
          <m:r>
            <m:t>r</m:t>
          </m:r>
          <m:r>
            <m:t>o</m:t>
          </m:r>
          <m:sSub>
            <m:e>
              <m:r>
                <m:t>e</m:t>
              </m:r>
            </m:e>
            <m:sub>
              <m:r>
                <m:t>i</m:t>
              </m:r>
              <m:r>
                <m:rPr>
                  <m:sty m:val="p"/>
                </m:rPr>
                <m:t>,</m:t>
              </m:r>
              <m:r>
                <m:t>t</m:t>
              </m:r>
            </m:sub>
          </m:sSub>
          <m:r>
            <m:rPr>
              <m:sty m:val="p"/>
            </m:rPr>
            <m:t>)</m:t>
          </m:r>
        </m:oMath>
      </m:oMathPara>
    </w:p>
    <w:p>
      <w:pPr>
        <w:numPr>
          <w:ilvl w:val="0"/>
          <w:numId w:val="1000"/>
        </w:numPr>
      </w:pPr>
      <w:r>
        <w:t xml:space="preserve">Negative transformation ensures higher stability maps to higher factor value.</w:t>
      </w:r>
    </w:p>
    <w:p>
      <w:pPr>
        <w:numPr>
          <w:ilvl w:val="0"/>
          <w:numId w:val="1032"/>
        </w:numPr>
      </w:pPr>
      <w:r>
        <w:rPr>
          <w:b/>
          <w:bCs/>
        </w:rPr>
        <w:t xml:space="preserve">cf_quality</w:t>
      </w:r>
      <w:r>
        <w:t xml:space="preserve"> </w:t>
      </w:r>
      <w:r>
        <w:t xml:space="preserve">(</w:t>
      </w:r>
      <m:oMath>
        <m:r>
          <m:t>c</m:t>
        </m:r>
        <m:r>
          <m:t>f</m:t>
        </m:r>
        <m:r>
          <m:t>q</m:t>
        </m:r>
      </m:oMath>
      <w:r>
        <w:t xml:space="preserve">): Operating cash flow quality</w:t>
      </w:r>
    </w:p>
    <w:p>
      <w:pPr>
        <w:pStyle w:val="BodyText"/>
      </w:pPr>
      <m:oMathPara>
        <m:oMathParaPr>
          <m:jc m:val="center"/>
        </m:oMathParaPr>
        <m:oMath>
          <m:r>
            <m:t>c</m:t>
          </m:r>
          <m:r>
            <m:t>f</m:t>
          </m:r>
          <m:sSub>
            <m:e>
              <m:r>
                <m:t>q</m:t>
              </m:r>
            </m:e>
            <m:sub>
              <m:r>
                <m:t>i</m:t>
              </m:r>
              <m:r>
                <m:rPr>
                  <m:sty m:val="p"/>
                </m:rPr>
                <m:t>,</m:t>
              </m:r>
              <m:r>
                <m:t>t</m:t>
              </m:r>
            </m:sub>
          </m:sSub>
          <m:r>
            <m:rPr>
              <m:sty m:val="p"/>
            </m:rPr>
            <m:t>=</m:t>
          </m:r>
          <m:f>
            <m:fPr>
              <m:type m:val="bar"/>
            </m:fPr>
            <m:num>
              <m:r>
                <m:t>O</m:t>
              </m:r>
              <m:r>
                <m:t>C</m:t>
              </m:r>
              <m:sSub>
                <m:e>
                  <m:r>
                    <m:t>F</m:t>
                  </m:r>
                </m:e>
                <m:sub>
                  <m:r>
                    <m:t>i</m:t>
                  </m:r>
                  <m:r>
                    <m:rPr>
                      <m:sty m:val="p"/>
                    </m:rPr>
                    <m:t>,</m:t>
                  </m:r>
                  <m:r>
                    <m:t>t</m:t>
                  </m:r>
                </m:sub>
              </m:sSub>
            </m:num>
            <m:den>
              <m:r>
                <m:t>N</m:t>
              </m:r>
              <m:r>
                <m:t>e</m:t>
              </m:r>
              <m:r>
                <m:t>t</m:t>
              </m:r>
              <m:r>
                <m:t>I</m:t>
              </m:r>
              <m:r>
                <m:t>n</m:t>
              </m:r>
              <m:r>
                <m:t>c</m:t>
              </m:r>
              <m:r>
                <m:t>o</m:t>
              </m:r>
              <m:r>
                <m:t>m</m:t>
              </m:r>
              <m:sSub>
                <m:e>
                  <m:r>
                    <m:t>e</m:t>
                  </m:r>
                </m:e>
                <m:sub>
                  <m:r>
                    <m:t>i</m:t>
                  </m:r>
                  <m:r>
                    <m:rPr>
                      <m:sty m:val="p"/>
                    </m:rPr>
                    <m:t>,</m:t>
                  </m:r>
                  <m:r>
                    <m:t>t</m:t>
                  </m:r>
                </m:sub>
              </m:sSub>
            </m:den>
          </m:f>
        </m:oMath>
      </m:oMathPara>
    </w:p>
    <w:p>
      <w:pPr>
        <w:numPr>
          <w:ilvl w:val="0"/>
          <w:numId w:val="1032"/>
        </w:numPr>
      </w:pPr>
      <w:r>
        <w:rPr>
          <w:b/>
          <w:bCs/>
        </w:rPr>
        <w:t xml:space="preserve">accruals</w:t>
      </w:r>
      <w:r>
        <w:t xml:space="preserve"> </w:t>
      </w:r>
      <w:r>
        <w:t xml:space="preserve">(</w:t>
      </w:r>
      <m:oMath>
        <m:r>
          <m:t>a</m:t>
        </m:r>
        <m:r>
          <m:t>c</m:t>
        </m:r>
        <m:r>
          <m:t>c</m:t>
        </m:r>
      </m:oMath>
      <w:r>
        <w:t xml:space="preserve">): Balance-sheet accruals</w:t>
      </w:r>
    </w:p>
    <w:p>
      <w:pPr>
        <w:pStyle w:val="BodyText"/>
      </w:pPr>
      <m:oMathPara>
        <m:oMathParaPr>
          <m:jc m:val="center"/>
        </m:oMathParaPr>
        <m:oMath>
          <m:r>
            <m:t>a</m:t>
          </m:r>
          <m:r>
            <m:t>c</m:t>
          </m:r>
          <m:sSub>
            <m:e>
              <m:r>
                <m:t>c</m:t>
              </m:r>
            </m:e>
            <m:sub>
              <m:r>
                <m:t>i</m:t>
              </m:r>
              <m:r>
                <m:rPr>
                  <m:sty m:val="p"/>
                </m:rPr>
                <m:t>,</m:t>
              </m:r>
              <m:r>
                <m:t>t</m:t>
              </m:r>
            </m:sub>
          </m:sSub>
          <m:r>
            <m:rPr>
              <m:sty m:val="p"/>
            </m:rPr>
            <m:t>=</m:t>
          </m:r>
          <m:f>
            <m:fPr>
              <m:type m:val="bar"/>
            </m:fPr>
            <m:num>
              <m:r>
                <m:rPr>
                  <m:sty m:val="p"/>
                </m:rPr>
                <m:t>Δ</m:t>
              </m:r>
              <m:r>
                <m:t>C</m:t>
              </m:r>
              <m:sSub>
                <m:e>
                  <m:r>
                    <m:t>A</m:t>
                  </m:r>
                </m:e>
                <m:sub>
                  <m:r>
                    <m:t>i</m:t>
                  </m:r>
                  <m:r>
                    <m:rPr>
                      <m:sty m:val="p"/>
                    </m:rPr>
                    <m:t>,</m:t>
                  </m:r>
                  <m:r>
                    <m:t>t</m:t>
                  </m:r>
                </m:sub>
              </m:sSub>
              <m:r>
                <m:rPr>
                  <m:sty m:val="p"/>
                </m:rPr>
                <m:t>−</m:t>
              </m:r>
              <m:r>
                <m:rPr>
                  <m:sty m:val="p"/>
                </m:rPr>
                <m:t>Δ</m:t>
              </m:r>
              <m:r>
                <m:t>C</m:t>
              </m:r>
              <m:r>
                <m:t>a</m:t>
              </m:r>
              <m:r>
                <m:t>s</m:t>
              </m:r>
              <m:sSub>
                <m:e>
                  <m:r>
                    <m:t>h</m:t>
                  </m:r>
                </m:e>
                <m:sub>
                  <m:r>
                    <m:t>i</m:t>
                  </m:r>
                  <m:r>
                    <m:rPr>
                      <m:sty m:val="p"/>
                    </m:rPr>
                    <m:t>,</m:t>
                  </m:r>
                  <m:r>
                    <m:t>t</m:t>
                  </m:r>
                </m:sub>
              </m:sSub>
              <m:r>
                <m:rPr>
                  <m:sty m:val="p"/>
                </m:rPr>
                <m:t>−</m:t>
              </m:r>
              <m:r>
                <m:rPr>
                  <m:sty m:val="p"/>
                </m:rPr>
                <m:t>Δ</m:t>
              </m:r>
              <m:r>
                <m:t>C</m:t>
              </m:r>
              <m:sSub>
                <m:e>
                  <m:r>
                    <m:t>L</m:t>
                  </m:r>
                </m:e>
                <m:sub>
                  <m:r>
                    <m:t>i</m:t>
                  </m:r>
                  <m:r>
                    <m:rPr>
                      <m:sty m:val="p"/>
                    </m:rPr>
                    <m:t>,</m:t>
                  </m:r>
                  <m:r>
                    <m:t>t</m:t>
                  </m:r>
                </m:sub>
              </m:sSub>
              <m:r>
                <m:rPr>
                  <m:sty m:val="p"/>
                </m:rPr>
                <m:t>+</m:t>
              </m:r>
              <m:r>
                <m:rPr>
                  <m:sty m:val="p"/>
                </m:rPr>
                <m:t>Δ</m:t>
              </m:r>
              <m:r>
                <m:t>S</m:t>
              </m:r>
              <m:r>
                <m:t>T</m:t>
              </m:r>
              <m:r>
                <m:t>D</m:t>
              </m:r>
              <m:r>
                <m:t>e</m:t>
              </m:r>
              <m:r>
                <m:t>b</m:t>
              </m:r>
              <m:sSub>
                <m:e>
                  <m:r>
                    <m:t>t</m:t>
                  </m:r>
                </m:e>
                <m:sub>
                  <m:r>
                    <m:t>i</m:t>
                  </m:r>
                  <m:r>
                    <m:rPr>
                      <m:sty m:val="p"/>
                    </m:rPr>
                    <m:t>,</m:t>
                  </m:r>
                  <m:r>
                    <m:t>t</m:t>
                  </m:r>
                </m:sub>
              </m:sSub>
              <m:r>
                <m:rPr>
                  <m:sty m:val="p"/>
                </m:rPr>
                <m:t>−</m:t>
              </m:r>
              <m:r>
                <m:t>D</m:t>
              </m:r>
              <m:r>
                <m:t>e</m:t>
              </m:r>
              <m:r>
                <m:t>p</m:t>
              </m:r>
              <m:r>
                <m:t>r</m:t>
              </m:r>
              <m:r>
                <m:t>e</m:t>
              </m:r>
              <m:sSub>
                <m:e>
                  <m:r>
                    <m:t>c</m:t>
                  </m:r>
                </m:e>
                <m:sub>
                  <m:r>
                    <m:t>i</m:t>
                  </m:r>
                  <m:r>
                    <m:rPr>
                      <m:sty m:val="p"/>
                    </m:rPr>
                    <m:t>,</m:t>
                  </m:r>
                  <m:r>
                    <m:t>t</m:t>
                  </m:r>
                </m:sub>
              </m:sSub>
            </m:num>
            <m:den>
              <m:r>
                <m:t>A</m:t>
              </m:r>
              <m:r>
                <m:t>s</m:t>
              </m:r>
              <m:r>
                <m:t>s</m:t>
              </m:r>
              <m:r>
                <m:t>e</m:t>
              </m:r>
              <m:r>
                <m:t>t</m:t>
              </m:r>
              <m:sSub>
                <m:e>
                  <m:r>
                    <m:t>s</m:t>
                  </m:r>
                </m:e>
                <m:sub>
                  <m:r>
                    <m:t>i</m:t>
                  </m:r>
                  <m:r>
                    <m:rPr>
                      <m:sty m:val="p"/>
                    </m:rPr>
                    <m:t>,</m:t>
                  </m:r>
                  <m:r>
                    <m:t>t</m:t>
                  </m:r>
                  <m:r>
                    <m:rPr>
                      <m:sty m:val="p"/>
                    </m:rPr>
                    <m:t>−</m:t>
                  </m:r>
                  <m:r>
                    <m:t>1</m:t>
                  </m:r>
                </m:sub>
              </m:sSub>
            </m:den>
          </m:f>
        </m:oMath>
      </m:oMathPara>
    </w:p>
    <w:p>
      <w:pPr>
        <w:numPr>
          <w:ilvl w:val="0"/>
          <w:numId w:val="1032"/>
        </w:numPr>
      </w:pPr>
      <w:r>
        <w:rPr>
          <w:b/>
          <w:bCs/>
        </w:rPr>
        <w:t xml:space="preserve">asset_turnover</w:t>
      </w:r>
      <w:r>
        <w:t xml:space="preserve"> </w:t>
      </w:r>
      <w:r>
        <w:t xml:space="preserve">(</w:t>
      </w:r>
      <m:oMath>
        <m:r>
          <m:t>a</m:t>
        </m:r>
        <m:r>
          <m:t>t</m:t>
        </m:r>
        <m:r>
          <m:t>u</m:t>
        </m:r>
        <m:r>
          <m:t>r</m:t>
        </m:r>
        <m:r>
          <m:t>n</m:t>
        </m:r>
      </m:oMath>
      <w:r>
        <w:t xml:space="preserve">): Asset turnover ratio</w:t>
      </w:r>
    </w:p>
    <w:p>
      <w:pPr>
        <w:pStyle w:val="BodyText"/>
      </w:pPr>
      <m:oMathPara>
        <m:oMathParaPr>
          <m:jc m:val="center"/>
        </m:oMathParaPr>
        <m:oMath>
          <m:r>
            <m:t>a</m:t>
          </m:r>
          <m:r>
            <m:t>t</m:t>
          </m:r>
          <m:r>
            <m:t>u</m:t>
          </m:r>
          <m:r>
            <m:t>r</m:t>
          </m:r>
          <m:sSub>
            <m:e>
              <m:r>
                <m:t>n</m:t>
              </m:r>
            </m:e>
            <m:sub>
              <m:r>
                <m:t>i</m:t>
              </m:r>
              <m:r>
                <m:rPr>
                  <m:sty m:val="p"/>
                </m:rPr>
                <m:t>,</m:t>
              </m:r>
              <m:r>
                <m:t>t</m:t>
              </m:r>
            </m:sub>
          </m:sSub>
          <m:r>
            <m:rPr>
              <m:sty m:val="p"/>
            </m:rPr>
            <m:t>=</m:t>
          </m:r>
          <m:f>
            <m:fPr>
              <m:type m:val="bar"/>
            </m:fPr>
            <m:num>
              <m:r>
                <m:t>R</m:t>
              </m:r>
              <m:r>
                <m:t>e</m:t>
              </m:r>
              <m:r>
                <m:t>v</m:t>
              </m:r>
              <m:r>
                <m:t>e</m:t>
              </m:r>
              <m:r>
                <m:t>n</m:t>
              </m:r>
              <m:r>
                <m:t>u</m:t>
              </m:r>
              <m:sSub>
                <m:e>
                  <m:r>
                    <m:t>e</m:t>
                  </m:r>
                </m:e>
                <m:sub>
                  <m:r>
                    <m:t>i</m:t>
                  </m:r>
                  <m:r>
                    <m:rPr>
                      <m:sty m:val="p"/>
                    </m:rPr>
                    <m:t>,</m:t>
                  </m:r>
                  <m:r>
                    <m:t>t</m:t>
                  </m:r>
                </m:sub>
              </m:sSub>
            </m:num>
            <m:den>
              <m:r>
                <m:t>A</m:t>
              </m:r>
              <m:r>
                <m:t>s</m:t>
              </m:r>
              <m:r>
                <m:t>s</m:t>
              </m:r>
              <m:r>
                <m:t>e</m:t>
              </m:r>
              <m:r>
                <m:t>t</m:t>
              </m:r>
              <m:sSub>
                <m:e>
                  <m:r>
                    <m:t>s</m:t>
                  </m:r>
                </m:e>
                <m:sub>
                  <m:r>
                    <m:t>i</m:t>
                  </m:r>
                  <m:r>
                    <m:rPr>
                      <m:sty m:val="p"/>
                    </m:rPr>
                    <m:t>,</m:t>
                  </m:r>
                  <m:r>
                    <m:t>t</m:t>
                  </m:r>
                </m:sub>
              </m:sSub>
            </m:den>
          </m:f>
        </m:oMath>
      </m:oMathPara>
    </w:p>
    <w:p>
      <w:pPr>
        <w:numPr>
          <w:ilvl w:val="0"/>
          <w:numId w:val="1032"/>
        </w:numPr>
      </w:pPr>
      <w:r>
        <w:rPr>
          <w:b/>
          <w:bCs/>
        </w:rPr>
        <w:t xml:space="preserve">debt_to_equity</w:t>
      </w:r>
      <w:r>
        <w:t xml:space="preserve"> </w:t>
      </w:r>
      <w:r>
        <w:t xml:space="preserve">(</w:t>
      </w:r>
      <m:oMath>
        <m:r>
          <m:t>d</m:t>
        </m:r>
        <m:r>
          <m:t>2</m:t>
        </m:r>
        <m:r>
          <m:t>e</m:t>
        </m:r>
      </m:oMath>
      <w:r>
        <w:t xml:space="preserve">): Leverage ratio</w:t>
      </w:r>
    </w:p>
    <w:p>
      <w:pPr>
        <w:pStyle w:val="BodyText"/>
      </w:pPr>
      <m:oMathPara>
        <m:oMathParaPr>
          <m:jc m:val="center"/>
        </m:oMathParaPr>
        <m:oMath>
          <m:r>
            <m:t>d</m:t>
          </m:r>
          <m:r>
            <m:t>2</m:t>
          </m:r>
          <m:sSub>
            <m:e>
              <m:r>
                <m:t>e</m:t>
              </m:r>
            </m:e>
            <m:sub>
              <m:r>
                <m:t>i</m:t>
              </m:r>
              <m:r>
                <m:rPr>
                  <m:sty m:val="p"/>
                </m:rPr>
                <m:t>,</m:t>
              </m:r>
              <m:r>
                <m:t>t</m:t>
              </m:r>
            </m:sub>
          </m:sSub>
          <m:r>
            <m:rPr>
              <m:sty m:val="p"/>
            </m:rPr>
            <m:t>=</m:t>
          </m:r>
          <m:r>
            <m:rPr>
              <m:sty m:val="p"/>
            </m:rPr>
            <m:t>−</m:t>
          </m:r>
          <m:f>
            <m:fPr>
              <m:type m:val="bar"/>
            </m:fPr>
            <m:num>
              <m:r>
                <m:t>T</m:t>
              </m:r>
              <m:r>
                <m:t>o</m:t>
              </m:r>
              <m:r>
                <m:t>t</m:t>
              </m:r>
              <m:r>
                <m:t>a</m:t>
              </m:r>
              <m:r>
                <m:t>l</m:t>
              </m:r>
              <m:r>
                <m:t>D</m:t>
              </m:r>
              <m:r>
                <m:t>e</m:t>
              </m:r>
              <m:r>
                <m:t>b</m:t>
              </m:r>
              <m:sSub>
                <m:e>
                  <m:r>
                    <m:t>t</m:t>
                  </m:r>
                </m:e>
                <m:sub>
                  <m:r>
                    <m:t>i</m:t>
                  </m:r>
                  <m:r>
                    <m:rPr>
                      <m:sty m:val="p"/>
                    </m:rPr>
                    <m:t>,</m:t>
                  </m:r>
                  <m:r>
                    <m:t>t</m:t>
                  </m:r>
                </m:sub>
              </m:sSub>
            </m:num>
            <m:den>
              <m:r>
                <m:t>E</m:t>
              </m:r>
              <m:r>
                <m:t>q</m:t>
              </m:r>
              <m:r>
                <m:t>u</m:t>
              </m:r>
              <m:r>
                <m:t>i</m:t>
              </m:r>
              <m:r>
                <m:t>t</m:t>
              </m:r>
              <m:sSub>
                <m:e>
                  <m:r>
                    <m:t>y</m:t>
                  </m:r>
                </m:e>
                <m:sub>
                  <m:r>
                    <m:t>i</m:t>
                  </m:r>
                  <m:r>
                    <m:rPr>
                      <m:sty m:val="p"/>
                    </m:rPr>
                    <m:t>,</m:t>
                  </m:r>
                  <m:r>
                    <m:t>t</m:t>
                  </m:r>
                </m:sub>
              </m:sSub>
            </m:den>
          </m:f>
        </m:oMath>
      </m:oMathPara>
    </w:p>
    <w:p>
      <w:pPr>
        <w:numPr>
          <w:ilvl w:val="0"/>
          <w:numId w:val="1000"/>
        </w:numPr>
      </w:pPr>
      <w:r>
        <w:t xml:space="preserve">Negative transformation ensures lower leverage maps to higher factor value.</w:t>
      </w:r>
    </w:p>
    <w:p>
      <w:pPr>
        <w:numPr>
          <w:ilvl w:val="0"/>
          <w:numId w:val="1032"/>
        </w:numPr>
      </w:pPr>
      <w:r>
        <w:rPr>
          <w:b/>
          <w:bCs/>
        </w:rPr>
        <w:t xml:space="preserve">gross_margin</w:t>
      </w:r>
      <w:r>
        <w:t xml:space="preserve"> </w:t>
      </w:r>
      <w:r>
        <w:t xml:space="preserve">(</w:t>
      </w:r>
      <m:oMath>
        <m:r>
          <m:t>g</m:t>
        </m:r>
        <m:r>
          <m:t>m</m:t>
        </m:r>
        <m:r>
          <m:t>a</m:t>
        </m:r>
        <m:r>
          <m:t>r</m:t>
        </m:r>
      </m:oMath>
      <w:r>
        <w:t xml:space="preserve">): Gross profit margin</w:t>
      </w:r>
    </w:p>
    <w:p>
      <w:pPr>
        <w:pStyle w:val="BodyText"/>
      </w:pPr>
      <m:oMathPara>
        <m:oMathParaPr>
          <m:jc m:val="center"/>
        </m:oMathParaPr>
        <m:oMath>
          <m:r>
            <m:t>g</m:t>
          </m:r>
          <m:r>
            <m:t>m</m:t>
          </m:r>
          <m:r>
            <m:t>a</m:t>
          </m:r>
          <m:sSub>
            <m:e>
              <m:r>
                <m:t>r</m:t>
              </m:r>
            </m:e>
            <m:sub>
              <m:r>
                <m:t>i</m:t>
              </m:r>
              <m:r>
                <m:rPr>
                  <m:sty m:val="p"/>
                </m:rPr>
                <m:t>,</m:t>
              </m:r>
              <m:r>
                <m:t>t</m:t>
              </m:r>
            </m:sub>
          </m:sSub>
          <m:r>
            <m:rPr>
              <m:sty m:val="p"/>
            </m:rPr>
            <m:t>=</m:t>
          </m:r>
          <m:f>
            <m:fPr>
              <m:type m:val="bar"/>
            </m:fPr>
            <m:num>
              <m:r>
                <m:t>R</m:t>
              </m:r>
              <m:r>
                <m:t>e</m:t>
              </m:r>
              <m:r>
                <m:t>v</m:t>
              </m:r>
              <m:r>
                <m:t>e</m:t>
              </m:r>
              <m:r>
                <m:t>n</m:t>
              </m:r>
              <m:r>
                <m:t>u</m:t>
              </m:r>
              <m:sSub>
                <m:e>
                  <m:r>
                    <m:t>e</m:t>
                  </m:r>
                </m:e>
                <m:sub>
                  <m:r>
                    <m:t>i</m:t>
                  </m:r>
                  <m:r>
                    <m:rPr>
                      <m:sty m:val="p"/>
                    </m:rPr>
                    <m:t>,</m:t>
                  </m:r>
                  <m:r>
                    <m:t>t</m:t>
                  </m:r>
                </m:sub>
              </m:sSub>
              <m:r>
                <m:rPr>
                  <m:sty m:val="p"/>
                </m:rPr>
                <m:t>−</m:t>
              </m:r>
              <m:r>
                <m:t>C</m:t>
              </m:r>
              <m:r>
                <m:t>O</m:t>
              </m:r>
              <m:r>
                <m:t>G</m:t>
              </m:r>
              <m:sSub>
                <m:e>
                  <m:r>
                    <m:t>S</m:t>
                  </m:r>
                </m:e>
                <m:sub>
                  <m:r>
                    <m:t>i</m:t>
                  </m:r>
                  <m:r>
                    <m:rPr>
                      <m:sty m:val="p"/>
                    </m:rPr>
                    <m:t>,</m:t>
                  </m:r>
                  <m:r>
                    <m:t>t</m:t>
                  </m:r>
                </m:sub>
              </m:sSub>
            </m:num>
            <m:den>
              <m:r>
                <m:t>R</m:t>
              </m:r>
              <m:r>
                <m:t>e</m:t>
              </m:r>
              <m:r>
                <m:t>v</m:t>
              </m:r>
              <m:r>
                <m:t>e</m:t>
              </m:r>
              <m:r>
                <m:t>n</m:t>
              </m:r>
              <m:r>
                <m:t>u</m:t>
              </m:r>
              <m:sSub>
                <m:e>
                  <m:r>
                    <m:t>e</m:t>
                  </m:r>
                </m:e>
                <m:sub>
                  <m:r>
                    <m:t>i</m:t>
                  </m:r>
                  <m:r>
                    <m:rPr>
                      <m:sty m:val="p"/>
                    </m:rPr>
                    <m:t>,</m:t>
                  </m:r>
                  <m:r>
                    <m:t>t</m:t>
                  </m:r>
                </m:sub>
              </m:sSub>
            </m:den>
          </m:f>
        </m:oMath>
      </m:oMathPara>
    </w:p>
    <w:bookmarkEnd w:id="93"/>
    <w:bookmarkStart w:id="94" w:name="sentiment-factors-2-factors"/>
    <w:p>
      <w:pPr>
        <w:pStyle w:val="Heading2"/>
      </w:pPr>
      <w:r>
        <w:t xml:space="preserve">Sentiment Factors (2 factors)</w:t>
      </w:r>
    </w:p>
    <w:p>
      <w:pPr>
        <w:numPr>
          <w:ilvl w:val="0"/>
          <w:numId w:val="1033"/>
        </w:numPr>
      </w:pPr>
      <w:r>
        <w:rPr>
          <w:b/>
          <w:bCs/>
        </w:rPr>
        <w:t xml:space="preserve">money_flow</w:t>
      </w:r>
      <w:r>
        <w:t xml:space="preserve"> </w:t>
      </w:r>
      <w:r>
        <w:t xml:space="preserve">(</w:t>
      </w:r>
      <m:oMath>
        <m:r>
          <m:t>m</m:t>
        </m:r>
        <m:r>
          <m:t>f</m:t>
        </m:r>
        <m:r>
          <m:t>l</m:t>
        </m:r>
        <m:r>
          <m:t>o</m:t>
        </m:r>
        <m:r>
          <m:t>w</m:t>
        </m:r>
      </m:oMath>
      <w:r>
        <w:t xml:space="preserve">): Money flow ratio</w:t>
      </w:r>
    </w:p>
    <w:p>
      <w:pPr>
        <w:pStyle w:val="BodyText"/>
      </w:pPr>
      <m:oMathPara>
        <m:oMathParaPr>
          <m:jc m:val="center"/>
        </m:oMathParaPr>
        <m:oMath>
          <m:r>
            <m:t>m</m:t>
          </m:r>
          <m:r>
            <m:t>f</m:t>
          </m:r>
          <m:r>
            <m:t>l</m:t>
          </m:r>
          <m:r>
            <m:t>o</m:t>
          </m:r>
          <m:sSub>
            <m:e>
              <m:r>
                <m:t>w</m:t>
              </m:r>
            </m:e>
            <m:sub>
              <m:r>
                <m:t>i</m:t>
              </m:r>
              <m:r>
                <m:rPr>
                  <m:sty m:val="p"/>
                </m:rPr>
                <m:t>,</m:t>
              </m:r>
              <m:r>
                <m:t>t</m:t>
              </m:r>
            </m:sub>
          </m:sSub>
          <m:r>
            <m:rPr>
              <m:sty m:val="p"/>
            </m:rPr>
            <m:t>=</m:t>
          </m:r>
          <m:f>
            <m:fPr>
              <m:type m:val="bar"/>
            </m:fPr>
            <m:num>
              <m:nary>
                <m:naryPr>
                  <m:chr m:val="∑"/>
                  <m:limLoc m:val="undOvr"/>
                  <m:subHide m:val="off"/>
                  <m:supHide m:val="off"/>
                </m:naryPr>
                <m:sub>
                  <m:r>
                    <m:t>k</m:t>
                  </m:r>
                  <m:r>
                    <m:rPr>
                      <m:sty m:val="p"/>
                    </m:rPr>
                    <m:t>=</m:t>
                  </m:r>
                  <m:r>
                    <m:t>1</m:t>
                  </m:r>
                </m:sub>
                <m:sup>
                  <m:r>
                    <m:t>20</m:t>
                  </m:r>
                </m:sup>
                <m:e>
                  <m:sSub>
                    <m:e>
                      <m:r>
                        <m:rPr>
                          <m:nor/>
                          <m:sty m:val="p"/>
                        </m:rPr>
                        <m:t>MF</m:t>
                      </m:r>
                    </m:e>
                    <m:sub>
                      <m:r>
                        <m:t>i</m:t>
                      </m:r>
                      <m:r>
                        <m:rPr>
                          <m:sty m:val="p"/>
                        </m:rPr>
                        <m:t>,</m:t>
                      </m:r>
                      <m:r>
                        <m:t>t</m:t>
                      </m:r>
                      <m:r>
                        <m:rPr>
                          <m:sty m:val="p"/>
                        </m:rPr>
                        <m:t>−</m:t>
                      </m:r>
                      <m:r>
                        <m:t>k</m:t>
                      </m:r>
                    </m:sub>
                  </m:sSub>
                </m:e>
              </m:nary>
            </m:num>
            <m:den>
              <m:nary>
                <m:naryPr>
                  <m:chr m:val="∑"/>
                  <m:limLoc m:val="undOvr"/>
                  <m:subHide m:val="off"/>
                  <m:supHide m:val="off"/>
                </m:naryPr>
                <m:sub>
                  <m:r>
                    <m:t>k</m:t>
                  </m:r>
                  <m:r>
                    <m:rPr>
                      <m:sty m:val="p"/>
                    </m:rPr>
                    <m:t>=</m:t>
                  </m:r>
                  <m:r>
                    <m:t>1</m:t>
                  </m:r>
                </m:sub>
                <m:sup>
                  <m:r>
                    <m:t>20</m:t>
                  </m:r>
                </m:sup>
                <m:e>
                  <m:r>
                    <m:t>V</m:t>
                  </m:r>
                </m:e>
              </m:nary>
              <m:r>
                <m:t>O</m:t>
              </m:r>
              <m:sSub>
                <m:e>
                  <m:r>
                    <m:t>L</m:t>
                  </m:r>
                </m:e>
                <m:sub>
                  <m:r>
                    <m:t>i</m:t>
                  </m:r>
                  <m:r>
                    <m:rPr>
                      <m:sty m:val="p"/>
                    </m:rPr>
                    <m:t>,</m:t>
                  </m:r>
                  <m:r>
                    <m:t>t</m:t>
                  </m:r>
                  <m:r>
                    <m:rPr>
                      <m:sty m:val="p"/>
                    </m:rPr>
                    <m:t>−</m:t>
                  </m:r>
                  <m:r>
                    <m:t>k</m:t>
                  </m:r>
                </m:sub>
              </m:sSub>
            </m:den>
          </m:f>
        </m:oMath>
      </m:oMathPara>
    </w:p>
    <w:p>
      <w:pPr>
        <w:numPr>
          <w:ilvl w:val="0"/>
          <w:numId w:val="1000"/>
        </w:numPr>
      </w:pPr>
      <w:r>
        <w:t xml:space="preserve">where</w:t>
      </w:r>
      <w:r>
        <w:t xml:space="preserve"> </w:t>
      </w:r>
      <m:oMath>
        <m:sSub>
          <m:e>
            <m:r>
              <m:rPr>
                <m:nor/>
                <m:sty m:val="p"/>
              </m:rPr>
              <m:t>MF</m:t>
            </m:r>
          </m:e>
          <m:sub>
            <m:r>
              <m:t>i</m:t>
            </m:r>
            <m:r>
              <m:rPr>
                <m:sty m:val="p"/>
              </m:rPr>
              <m:t>,</m:t>
            </m:r>
            <m:r>
              <m:t>t</m:t>
            </m:r>
          </m:sub>
        </m:sSub>
      </m:oMath>
      <w:r>
        <w:t xml:space="preserve"> </w:t>
      </w:r>
      <w:r>
        <w:t xml:space="preserve">is money flow:</w:t>
      </w:r>
      <w:r>
        <w:t xml:space="preserve"> </w:t>
      </w:r>
      <m:oMath>
        <m:sSub>
          <m:e>
            <m:r>
              <m:t>P</m:t>
            </m:r>
          </m:e>
          <m:sub>
            <m:r>
              <m:t>i</m:t>
            </m:r>
            <m:r>
              <m:rPr>
                <m:sty m:val="p"/>
              </m:rPr>
              <m:t>,</m:t>
            </m:r>
            <m:r>
              <m:t>t</m:t>
            </m:r>
          </m:sub>
        </m:sSub>
        <m:r>
          <m:rPr>
            <m:sty m:val="p"/>
          </m:rPr>
          <m:t>⋅</m:t>
        </m:r>
        <m:r>
          <m:t>V</m:t>
        </m:r>
        <m:r>
          <m:t>O</m:t>
        </m:r>
        <m:sSub>
          <m:e>
            <m:r>
              <m:t>L</m:t>
            </m:r>
          </m:e>
          <m:sub>
            <m:r>
              <m:t>i</m:t>
            </m:r>
            <m:r>
              <m:rPr>
                <m:sty m:val="p"/>
              </m:rPr>
              <m:t>,</m:t>
            </m:r>
            <m:r>
              <m:t>t</m:t>
            </m:r>
          </m:sub>
        </m:sSub>
        <m:r>
          <m:rPr>
            <m:sty m:val="p"/>
          </m:rPr>
          <m:t>⋅</m:t>
        </m:r>
        <m:r>
          <m:rPr>
            <m:nor/>
            <m:sty m:val="p"/>
          </m:rPr>
          <m:t>sign</m:t>
        </m:r>
        <m:r>
          <m:rPr>
            <m:sty m:val="p"/>
          </m:rPr>
          <m:t>(</m:t>
        </m:r>
        <m:sSub>
          <m:e>
            <m:r>
              <m:t>P</m:t>
            </m:r>
          </m:e>
          <m:sub>
            <m:r>
              <m:t>i</m:t>
            </m:r>
            <m:r>
              <m:rPr>
                <m:sty m:val="p"/>
              </m:rPr>
              <m:t>,</m:t>
            </m:r>
            <m:r>
              <m:t>t</m:t>
            </m:r>
          </m:sub>
        </m:sSub>
        <m:r>
          <m:rPr>
            <m:sty m:val="p"/>
          </m:rPr>
          <m:t>−</m:t>
        </m:r>
        <m:sSub>
          <m:e>
            <m:r>
              <m:t>P</m:t>
            </m:r>
          </m:e>
          <m:sub>
            <m:r>
              <m:t>i</m:t>
            </m:r>
            <m:r>
              <m:rPr>
                <m:sty m:val="p"/>
              </m:rPr>
              <m:t>,</m:t>
            </m:r>
            <m:r>
              <m:t>t</m:t>
            </m:r>
            <m:r>
              <m:rPr>
                <m:sty m:val="p"/>
              </m:rPr>
              <m:t>−</m:t>
            </m:r>
            <m:r>
              <m:t>1</m:t>
            </m:r>
          </m:sub>
        </m:sSub>
        <m:r>
          <m:rPr>
            <m:sty m:val="p"/>
          </m:rPr>
          <m:t>)</m:t>
        </m:r>
      </m:oMath>
      <w:r>
        <w:t xml:space="preserve">.</w:t>
      </w:r>
    </w:p>
    <w:p>
      <w:pPr>
        <w:numPr>
          <w:ilvl w:val="0"/>
          <w:numId w:val="1033"/>
        </w:numPr>
      </w:pPr>
      <w:r>
        <w:rPr>
          <w:b/>
          <w:bCs/>
        </w:rPr>
        <w:t xml:space="preserve">northbound_holding</w:t>
      </w:r>
      <w:r>
        <w:t xml:space="preserve"> </w:t>
      </w:r>
      <w:r>
        <w:t xml:space="preserve">(</w:t>
      </w:r>
      <m:oMath>
        <m:r>
          <m:t>n</m:t>
        </m:r>
        <m:r>
          <m:t>b</m:t>
        </m:r>
        <m:r>
          <m:t>h</m:t>
        </m:r>
      </m:oMath>
      <w:r>
        <w:t xml:space="preserve">): Change in northbound investor holdings</w:t>
      </w:r>
    </w:p>
    <w:p>
      <w:pPr>
        <w:pStyle w:val="BodyText"/>
      </w:pPr>
      <m:oMathPara>
        <m:oMathParaPr>
          <m:jc m:val="center"/>
        </m:oMathParaPr>
        <m:oMath>
          <m:r>
            <m:t>n</m:t>
          </m:r>
          <m:r>
            <m:t>b</m:t>
          </m:r>
          <m:sSub>
            <m:e>
              <m:r>
                <m:t>h</m:t>
              </m:r>
            </m:e>
            <m:sub>
              <m:r>
                <m:t>i</m:t>
              </m:r>
              <m:r>
                <m:rPr>
                  <m:sty m:val="p"/>
                </m:rPr>
                <m:t>,</m:t>
              </m:r>
              <m:r>
                <m:t>t</m:t>
              </m:r>
            </m:sub>
          </m:sSub>
          <m:r>
            <m:rPr>
              <m:sty m:val="p"/>
            </m:rPr>
            <m:t>=</m:t>
          </m:r>
          <m:f>
            <m:fPr>
              <m:type m:val="bar"/>
            </m:fPr>
            <m:num>
              <m:r>
                <m:t>H</m:t>
              </m:r>
              <m:r>
                <m:t>o</m:t>
              </m:r>
              <m:r>
                <m:t>l</m:t>
              </m:r>
              <m:r>
                <m:t>d</m:t>
              </m:r>
              <m:r>
                <m:t>i</m:t>
              </m:r>
              <m:r>
                <m:t>n</m:t>
              </m:r>
              <m:sSubSup>
                <m:e>
                  <m:r>
                    <m:t>g</m:t>
                  </m:r>
                </m:e>
                <m:sub>
                  <m:r>
                    <m:t>i</m:t>
                  </m:r>
                  <m:r>
                    <m:rPr>
                      <m:sty m:val="p"/>
                    </m:rPr>
                    <m:t>,</m:t>
                  </m:r>
                  <m:r>
                    <m:t>t</m:t>
                  </m:r>
                </m:sub>
                <m:sup>
                  <m:r>
                    <m:t>N</m:t>
                  </m:r>
                  <m:r>
                    <m:t>B</m:t>
                  </m:r>
                </m:sup>
              </m:sSubSup>
              <m:r>
                <m:rPr>
                  <m:sty m:val="p"/>
                </m:rPr>
                <m:t>−</m:t>
              </m:r>
              <m:r>
                <m:t>H</m:t>
              </m:r>
              <m:r>
                <m:t>o</m:t>
              </m:r>
              <m:r>
                <m:t>l</m:t>
              </m:r>
              <m:r>
                <m:t>d</m:t>
              </m:r>
              <m:r>
                <m:t>i</m:t>
              </m:r>
              <m:r>
                <m:t>n</m:t>
              </m:r>
              <m:sSubSup>
                <m:e>
                  <m:r>
                    <m:t>g</m:t>
                  </m:r>
                </m:e>
                <m:sub>
                  <m:r>
                    <m:t>i</m:t>
                  </m:r>
                  <m:r>
                    <m:rPr>
                      <m:sty m:val="p"/>
                    </m:rPr>
                    <m:t>,</m:t>
                  </m:r>
                  <m:r>
                    <m:t>t</m:t>
                  </m:r>
                  <m:r>
                    <m:rPr>
                      <m:sty m:val="p"/>
                    </m:rPr>
                    <m:t>−</m:t>
                  </m:r>
                  <m:r>
                    <m:t>20</m:t>
                  </m:r>
                </m:sub>
                <m:sup>
                  <m:r>
                    <m:t>N</m:t>
                  </m:r>
                  <m:r>
                    <m:t>B</m:t>
                  </m:r>
                </m:sup>
              </m:sSubSup>
            </m:num>
            <m:den>
              <m:r>
                <m:t>S</m:t>
              </m:r>
              <m:r>
                <m:t>H</m:t>
              </m:r>
              <m:r>
                <m:t>A</m:t>
              </m:r>
              <m:r>
                <m:t>R</m:t>
              </m:r>
              <m:r>
                <m:t>E</m:t>
              </m:r>
              <m:sSub>
                <m:e>
                  <m:r>
                    <m:t>S</m:t>
                  </m:r>
                </m:e>
                <m:sub>
                  <m:r>
                    <m:t>i</m:t>
                  </m:r>
                </m:sub>
              </m:sSub>
            </m:den>
          </m:f>
        </m:oMath>
      </m:oMathPara>
    </w:p>
    <w:p>
      <w:pPr>
        <w:numPr>
          <w:ilvl w:val="0"/>
          <w:numId w:val="1000"/>
        </w:numPr>
      </w:pPr>
      <w:r>
        <w:t xml:space="preserve">Data sourced from Hong Kong Stock Connect daily disclosures.</w:t>
      </w:r>
    </w:p>
    <w:bookmarkEnd w:id="94"/>
    <w:bookmarkStart w:id="95" w:name="technical-factors-6-factors"/>
    <w:p>
      <w:pPr>
        <w:pStyle w:val="Heading2"/>
      </w:pPr>
      <w:r>
        <w:t xml:space="preserve">Technical Factors (6 factors)</w:t>
      </w:r>
    </w:p>
    <w:p>
      <w:pPr>
        <w:numPr>
          <w:ilvl w:val="0"/>
          <w:numId w:val="1034"/>
        </w:numPr>
      </w:pPr>
      <w:r>
        <w:rPr>
          <w:b/>
          <w:bCs/>
        </w:rPr>
        <w:t xml:space="preserve">bollinger_pos</w:t>
      </w:r>
      <w:r>
        <w:t xml:space="preserve"> </w:t>
      </w:r>
      <w:r>
        <w:t xml:space="preserve">(</w:t>
      </w:r>
      <m:oMath>
        <m:r>
          <m:t>b</m:t>
        </m:r>
        <m:r>
          <m:t>o</m:t>
        </m:r>
        <m:r>
          <m:t>l</m:t>
        </m:r>
        <m:r>
          <m:t>l</m:t>
        </m:r>
      </m:oMath>
      <w:r>
        <w:t xml:space="preserve">): Position within Bollinger Bands</w:t>
      </w:r>
    </w:p>
    <w:p>
      <w:pPr>
        <w:pStyle w:val="BodyText"/>
      </w:pPr>
      <m:oMathPara>
        <m:oMathParaPr>
          <m:jc m:val="center"/>
        </m:oMathParaPr>
        <m:oMath>
          <m:r>
            <m:t>b</m:t>
          </m:r>
          <m:r>
            <m:t>o</m:t>
          </m:r>
          <m:r>
            <m:t>l</m:t>
          </m:r>
          <m:sSub>
            <m:e>
              <m:r>
                <m:t>l</m:t>
              </m:r>
            </m:e>
            <m:sub>
              <m:r>
                <m:t>i</m:t>
              </m:r>
              <m:r>
                <m:rPr>
                  <m:sty m:val="p"/>
                </m:rPr>
                <m:t>,</m:t>
              </m:r>
              <m:r>
                <m:t>t</m:t>
              </m:r>
            </m:sub>
          </m:sSub>
          <m:r>
            <m:rPr>
              <m:sty m:val="p"/>
            </m:rPr>
            <m:t>=</m:t>
          </m:r>
          <m:f>
            <m:fPr>
              <m:type m:val="bar"/>
            </m:fPr>
            <m:num>
              <m:sSub>
                <m:e>
                  <m:r>
                    <m:t>P</m:t>
                  </m:r>
                </m:e>
                <m:sub>
                  <m:r>
                    <m:t>i</m:t>
                  </m:r>
                  <m:r>
                    <m:rPr>
                      <m:sty m:val="p"/>
                    </m:rPr>
                    <m:t>,</m:t>
                  </m:r>
                  <m:r>
                    <m:t>t</m:t>
                  </m:r>
                </m:sub>
              </m:sSub>
              <m:r>
                <m:rPr>
                  <m:sty m:val="p"/>
                </m:rPr>
                <m:t>−</m:t>
              </m:r>
              <m:sSub>
                <m:e>
                  <m:r>
                    <m:t>μ</m:t>
                  </m:r>
                </m:e>
                <m:sub>
                  <m:r>
                    <m:t>20</m:t>
                  </m:r>
                </m:sub>
              </m:sSub>
              <m:r>
                <m:rPr>
                  <m:sty m:val="p"/>
                </m:rPr>
                <m:t>+</m:t>
              </m:r>
              <m:r>
                <m:t>2</m:t>
              </m:r>
              <m:sSub>
                <m:e>
                  <m:r>
                    <m:t>σ</m:t>
                  </m:r>
                </m:e>
                <m:sub>
                  <m:r>
                    <m:t>20</m:t>
                  </m:r>
                </m:sub>
              </m:sSub>
            </m:num>
            <m:den>
              <m:r>
                <m:t>4</m:t>
              </m:r>
              <m:sSub>
                <m:e>
                  <m:r>
                    <m:t>σ</m:t>
                  </m:r>
                </m:e>
                <m:sub>
                  <m:r>
                    <m:t>20</m:t>
                  </m:r>
                </m:sub>
              </m:sSub>
            </m:den>
          </m:f>
        </m:oMath>
      </m:oMathPara>
    </w:p>
    <w:p>
      <w:pPr>
        <w:numPr>
          <w:ilvl w:val="0"/>
          <w:numId w:val="1000"/>
        </w:numPr>
      </w:pPr>
      <w:r>
        <w:t xml:space="preserve">where</w:t>
      </w:r>
      <w:r>
        <w:t xml:space="preserve"> </w:t>
      </w:r>
      <m:oMath>
        <m:sSub>
          <m:e>
            <m:r>
              <m:t>μ</m:t>
            </m:r>
          </m:e>
          <m:sub>
            <m:r>
              <m:t>20</m:t>
            </m:r>
          </m:sub>
        </m:sSub>
      </m:oMath>
      <w:r>
        <w:t xml:space="preserve"> </w:t>
      </w:r>
      <w:r>
        <w:t xml:space="preserve">and</w:t>
      </w:r>
      <w:r>
        <w:t xml:space="preserve"> </w:t>
      </w:r>
      <m:oMath>
        <m:sSub>
          <m:e>
            <m:r>
              <m:t>σ</m:t>
            </m:r>
          </m:e>
          <m:sub>
            <m:r>
              <m:t>20</m:t>
            </m:r>
          </m:sub>
        </m:sSub>
      </m:oMath>
      <w:r>
        <w:t xml:space="preserve"> </w:t>
      </w:r>
      <w:r>
        <w:t xml:space="preserve">are 20-day mean and standard deviation.</w:t>
      </w:r>
    </w:p>
    <w:p>
      <w:pPr>
        <w:numPr>
          <w:ilvl w:val="0"/>
          <w:numId w:val="1034"/>
        </w:numPr>
      </w:pPr>
      <w:r>
        <w:rPr>
          <w:b/>
          <w:bCs/>
        </w:rPr>
        <w:t xml:space="preserve">atr</w:t>
      </w:r>
      <w:r>
        <w:t xml:space="preserve"> </w:t>
      </w:r>
      <w:r>
        <w:t xml:space="preserve">(</w:t>
      </w:r>
      <m:oMath>
        <m:r>
          <m:t>a</m:t>
        </m:r>
        <m:r>
          <m:t>t</m:t>
        </m:r>
        <m:r>
          <m:t>r</m:t>
        </m:r>
      </m:oMath>
      <w:r>
        <w:t xml:space="preserve">): Average True Range (normalized)</w:t>
      </w:r>
    </w:p>
    <w:p>
      <w:pPr>
        <w:pStyle w:val="BodyText"/>
      </w:pPr>
      <m:oMathPara>
        <m:oMathParaPr>
          <m:jc m:val="center"/>
        </m:oMathParaPr>
        <m:oMath>
          <m:r>
            <m:t>a</m:t>
          </m:r>
          <m:r>
            <m:t>t</m:t>
          </m:r>
          <m:sSub>
            <m:e>
              <m:r>
                <m:t>r</m:t>
              </m:r>
            </m:e>
            <m:sub>
              <m:r>
                <m:t>i</m:t>
              </m:r>
              <m:r>
                <m:rPr>
                  <m:sty m:val="p"/>
                </m:rPr>
                <m:t>,</m:t>
              </m:r>
              <m:r>
                <m:t>t</m:t>
              </m:r>
            </m:sub>
          </m:sSub>
          <m:r>
            <m:rPr>
              <m:sty m:val="p"/>
            </m:rPr>
            <m:t>=</m:t>
          </m:r>
          <m:f>
            <m:fPr>
              <m:type m:val="bar"/>
            </m:fPr>
            <m:num>
              <m:r>
                <m:t>1</m:t>
              </m:r>
            </m:num>
            <m:den>
              <m:r>
                <m:t>20</m:t>
              </m:r>
            </m:den>
          </m:f>
          <m:nary>
            <m:naryPr>
              <m:chr m:val="∑"/>
              <m:limLoc m:val="undOvr"/>
              <m:subHide m:val="off"/>
              <m:supHide m:val="off"/>
            </m:naryPr>
            <m:sub>
              <m:r>
                <m:t>k</m:t>
              </m:r>
              <m:r>
                <m:rPr>
                  <m:sty m:val="p"/>
                </m:rPr>
                <m:t>=</m:t>
              </m:r>
              <m:r>
                <m:t>1</m:t>
              </m:r>
            </m:sub>
            <m:sup>
              <m:r>
                <m:t>20</m:t>
              </m:r>
            </m:sup>
            <m:e>
              <m:r>
                <m:t>T</m:t>
              </m:r>
            </m:e>
          </m:nary>
          <m:sSub>
            <m:e>
              <m:r>
                <m:t>R</m:t>
              </m:r>
            </m:e>
            <m:sub>
              <m:r>
                <m:t>i</m:t>
              </m:r>
              <m:r>
                <m:rPr>
                  <m:sty m:val="p"/>
                </m:rPr>
                <m:t>,</m:t>
              </m:r>
              <m:r>
                <m:t>t</m:t>
              </m:r>
              <m:r>
                <m:rPr>
                  <m:sty m:val="p"/>
                </m:rPr>
                <m:t>−</m:t>
              </m:r>
              <m:r>
                <m:t>k</m:t>
              </m:r>
            </m:sub>
          </m:sSub>
        </m:oMath>
      </m:oMathPara>
    </w:p>
    <w:p>
      <w:pPr>
        <w:numPr>
          <w:ilvl w:val="0"/>
          <w:numId w:val="1000"/>
        </w:numPr>
      </w:pPr>
      <w:r>
        <w:t xml:space="preserve">where</w:t>
      </w:r>
      <w:r>
        <w:t xml:space="preserve"> </w:t>
      </w:r>
      <m:oMath>
        <m:r>
          <m:t>T</m:t>
        </m:r>
        <m:r>
          <m:t>R</m:t>
        </m:r>
        <m:r>
          <m:rPr>
            <m:sty m:val="p"/>
          </m:rPr>
          <m:t>=</m:t>
        </m:r>
        <m:r>
          <m:rPr>
            <m:sty m:val="p"/>
          </m:rPr>
          <m:t>max</m:t>
        </m:r>
        <m:r>
          <m:rPr>
            <m:sty m:val="p"/>
          </m:rPr>
          <m:t>(</m:t>
        </m:r>
        <m:sSub>
          <m:e>
            <m:r>
              <m:t>H</m:t>
            </m:r>
          </m:e>
          <m:sub>
            <m:r>
              <m:t>t</m:t>
            </m:r>
          </m:sub>
        </m:sSub>
        <m:r>
          <m:rPr>
            <m:sty m:val="p"/>
          </m:rPr>
          <m:t>−</m:t>
        </m:r>
        <m:sSub>
          <m:e>
            <m:r>
              <m:t>L</m:t>
            </m:r>
          </m:e>
          <m:sub>
            <m:r>
              <m:t>t</m:t>
            </m:r>
          </m:sub>
        </m:sSub>
        <m:r>
          <m:rPr>
            <m:sty m:val="p"/>
          </m:rPr>
          <m:t>,</m:t>
        </m:r>
        <m:r>
          <m:rPr>
            <m:sty m:val="p"/>
          </m:rPr>
          <m:t>|</m:t>
        </m:r>
        <m:sSub>
          <m:e>
            <m:r>
              <m:t>H</m:t>
            </m:r>
          </m:e>
          <m:sub>
            <m:r>
              <m:t>t</m:t>
            </m:r>
          </m:sub>
        </m:sSub>
        <m:r>
          <m:rPr>
            <m:sty m:val="p"/>
          </m:rPr>
          <m:t>−</m:t>
        </m:r>
        <m:sSub>
          <m:e>
            <m:r>
              <m:t>P</m:t>
            </m:r>
          </m:e>
          <m:sub>
            <m:r>
              <m:t>t</m:t>
            </m:r>
            <m:r>
              <m:rPr>
                <m:sty m:val="p"/>
              </m:rPr>
              <m:t>−</m:t>
            </m:r>
            <m:r>
              <m:t>1</m:t>
            </m:r>
          </m:sub>
        </m:sSub>
        <m:r>
          <m:rPr>
            <m:sty m:val="p"/>
          </m:rPr>
          <m:t>|</m:t>
        </m:r>
        <m:r>
          <m:rPr>
            <m:sty m:val="p"/>
          </m:rPr>
          <m:t>,</m:t>
        </m:r>
        <m:r>
          <m:rPr>
            <m:sty m:val="p"/>
          </m:rPr>
          <m:t>|</m:t>
        </m:r>
        <m:sSub>
          <m:e>
            <m:r>
              <m:t>L</m:t>
            </m:r>
          </m:e>
          <m:sub>
            <m:r>
              <m:t>t</m:t>
            </m:r>
          </m:sub>
        </m:sSub>
        <m:r>
          <m:rPr>
            <m:sty m:val="p"/>
          </m:rPr>
          <m:t>−</m:t>
        </m:r>
        <m:sSub>
          <m:e>
            <m:r>
              <m:t>P</m:t>
            </m:r>
          </m:e>
          <m:sub>
            <m:r>
              <m:t>t</m:t>
            </m:r>
            <m:r>
              <m:rPr>
                <m:sty m:val="p"/>
              </m:rPr>
              <m:t>−</m:t>
            </m:r>
            <m:r>
              <m:t>1</m:t>
            </m:r>
          </m:sub>
        </m:sSub>
        <m:r>
          <m:rPr>
            <m:sty m:val="p"/>
          </m:rPr>
          <m:t>|</m:t>
        </m:r>
        <m:r>
          <m:rPr>
            <m:sty m:val="p"/>
          </m:rPr>
          <m:t>)</m:t>
        </m:r>
      </m:oMath>
      <w:r>
        <w:t xml:space="preserve">.</w:t>
      </w:r>
    </w:p>
    <w:p>
      <w:pPr>
        <w:numPr>
          <w:ilvl w:val="0"/>
          <w:numId w:val="1034"/>
        </w:numPr>
      </w:pPr>
      <w:r>
        <w:rPr>
          <w:b/>
          <w:bCs/>
        </w:rPr>
        <w:t xml:space="preserve">williams_r</w:t>
      </w:r>
      <w:r>
        <w:t xml:space="preserve"> </w:t>
      </w:r>
      <w:r>
        <w:t xml:space="preserve">(</w:t>
      </w:r>
      <m:oMath>
        <m:r>
          <m:t>w</m:t>
        </m:r>
        <m:r>
          <m:t>r</m:t>
        </m:r>
      </m:oMath>
      <w:r>
        <w:t xml:space="preserve">): Williams %R oscillator</w:t>
      </w:r>
    </w:p>
    <w:p>
      <w:pPr>
        <w:pStyle w:val="BodyText"/>
      </w:pPr>
      <m:oMathPara>
        <m:oMathParaPr>
          <m:jc m:val="center"/>
        </m:oMathParaPr>
        <m:oMath>
          <m:r>
            <m:t>w</m:t>
          </m:r>
          <m:sSub>
            <m:e>
              <m:r>
                <m:t>r</m:t>
              </m:r>
            </m:e>
            <m:sub>
              <m:r>
                <m:t>i</m:t>
              </m:r>
              <m:r>
                <m:rPr>
                  <m:sty m:val="p"/>
                </m:rPr>
                <m:t>,</m:t>
              </m:r>
              <m:r>
                <m:t>t</m:t>
              </m:r>
            </m:sub>
          </m:sSub>
          <m:r>
            <m:rPr>
              <m:sty m:val="p"/>
            </m:rPr>
            <m:t>=</m:t>
          </m:r>
          <m:f>
            <m:fPr>
              <m:type m:val="bar"/>
            </m:fPr>
            <m:num>
              <m:sSub>
                <m:e>
                  <m:r>
                    <m:t>H</m:t>
                  </m:r>
                </m:e>
                <m:sub>
                  <m:r>
                    <m:t>20</m:t>
                  </m:r>
                </m:sub>
              </m:sSub>
              <m:r>
                <m:rPr>
                  <m:sty m:val="p"/>
                </m:rPr>
                <m:t>−</m:t>
              </m:r>
              <m:sSub>
                <m:e>
                  <m:r>
                    <m:t>P</m:t>
                  </m:r>
                </m:e>
                <m:sub>
                  <m:r>
                    <m:t>i</m:t>
                  </m:r>
                  <m:r>
                    <m:rPr>
                      <m:sty m:val="p"/>
                    </m:rPr>
                    <m:t>,</m:t>
                  </m:r>
                  <m:r>
                    <m:t>t</m:t>
                  </m:r>
                </m:sub>
              </m:sSub>
            </m:num>
            <m:den>
              <m:sSub>
                <m:e>
                  <m:r>
                    <m:t>H</m:t>
                  </m:r>
                </m:e>
                <m:sub>
                  <m:r>
                    <m:t>20</m:t>
                  </m:r>
                </m:sub>
              </m:sSub>
              <m:r>
                <m:rPr>
                  <m:sty m:val="p"/>
                </m:rPr>
                <m:t>−</m:t>
              </m:r>
              <m:sSub>
                <m:e>
                  <m:r>
                    <m:t>L</m:t>
                  </m:r>
                </m:e>
                <m:sub>
                  <m:r>
                    <m:t>20</m:t>
                  </m:r>
                </m:sub>
              </m:sSub>
            </m:den>
          </m:f>
        </m:oMath>
      </m:oMathPara>
    </w:p>
    <w:p>
      <w:pPr>
        <w:numPr>
          <w:ilvl w:val="0"/>
          <w:numId w:val="1000"/>
        </w:numPr>
      </w:pPr>
      <w:r>
        <w:t xml:space="preserve">where</w:t>
      </w:r>
      <w:r>
        <w:t xml:space="preserve"> </w:t>
      </w:r>
      <m:oMath>
        <m:sSub>
          <m:e>
            <m:r>
              <m:t>H</m:t>
            </m:r>
          </m:e>
          <m:sub>
            <m:r>
              <m:t>20</m:t>
            </m:r>
          </m:sub>
        </m:sSub>
      </m:oMath>
      <w:r>
        <w:t xml:space="preserve"> </w:t>
      </w:r>
      <w:r>
        <w:t xml:space="preserve">and</w:t>
      </w:r>
      <w:r>
        <w:t xml:space="preserve"> </w:t>
      </w:r>
      <m:oMath>
        <m:sSub>
          <m:e>
            <m:r>
              <m:t>L</m:t>
            </m:r>
          </m:e>
          <m:sub>
            <m:r>
              <m:t>20</m:t>
            </m:r>
          </m:sub>
        </m:sSub>
      </m:oMath>
      <w:r>
        <w:t xml:space="preserve"> </w:t>
      </w:r>
      <w:r>
        <w:t xml:space="preserve">are 20-day high and low.</w:t>
      </w:r>
    </w:p>
    <w:p>
      <w:pPr>
        <w:numPr>
          <w:ilvl w:val="0"/>
          <w:numId w:val="1034"/>
        </w:numPr>
      </w:pPr>
      <w:r>
        <w:rPr>
          <w:b/>
          <w:bCs/>
        </w:rPr>
        <w:t xml:space="preserve">cci</w:t>
      </w:r>
      <w:r>
        <w:t xml:space="preserve"> </w:t>
      </w:r>
      <w:r>
        <w:t xml:space="preserve">(</w:t>
      </w:r>
      <m:oMath>
        <m:r>
          <m:t>c</m:t>
        </m:r>
        <m:r>
          <m:t>c</m:t>
        </m:r>
        <m:r>
          <m:t>i</m:t>
        </m:r>
      </m:oMath>
      <w:r>
        <w:t xml:space="preserve">): Commodity Channel Index</w:t>
      </w:r>
    </w:p>
    <w:p>
      <w:pPr>
        <w:pStyle w:val="BodyText"/>
      </w:pPr>
      <m:oMathPara>
        <m:oMathParaPr>
          <m:jc m:val="center"/>
        </m:oMathParaPr>
        <m:oMath>
          <m:r>
            <m:t>c</m:t>
          </m:r>
          <m:r>
            <m:t>c</m:t>
          </m:r>
          <m:sSub>
            <m:e>
              <m:r>
                <m:t>i</m:t>
              </m:r>
            </m:e>
            <m:sub>
              <m:r>
                <m:t>i</m:t>
              </m:r>
              <m:r>
                <m:rPr>
                  <m:sty m:val="p"/>
                </m:rPr>
                <m:t>,</m:t>
              </m:r>
              <m:r>
                <m:t>t</m:t>
              </m:r>
            </m:sub>
          </m:sSub>
          <m:r>
            <m:rPr>
              <m:sty m:val="p"/>
            </m:rPr>
            <m:t>=</m:t>
          </m:r>
          <m:f>
            <m:fPr>
              <m:type m:val="bar"/>
            </m:fPr>
            <m:num>
              <m:r>
                <m:t>T</m:t>
              </m:r>
              <m:sSub>
                <m:e>
                  <m:r>
                    <m:t>P</m:t>
                  </m:r>
                </m:e>
                <m:sub>
                  <m:r>
                    <m:t>i</m:t>
                  </m:r>
                  <m:r>
                    <m:rPr>
                      <m:sty m:val="p"/>
                    </m:rPr>
                    <m:t>,</m:t>
                  </m:r>
                  <m:r>
                    <m:t>t</m:t>
                  </m:r>
                </m:sub>
              </m:sSub>
              <m:r>
                <m:rPr>
                  <m:sty m:val="p"/>
                </m:rPr>
                <m:t>−</m:t>
              </m:r>
              <m:r>
                <m:t>S</m:t>
              </m:r>
              <m:r>
                <m:t>M</m:t>
              </m:r>
              <m:sSub>
                <m:e>
                  <m:r>
                    <m:t>A</m:t>
                  </m:r>
                </m:e>
                <m:sub>
                  <m:r>
                    <m:t>20</m:t>
                  </m:r>
                </m:sub>
              </m:sSub>
              <m:r>
                <m:rPr>
                  <m:sty m:val="p"/>
                </m:rPr>
                <m:t>(</m:t>
              </m:r>
              <m:r>
                <m:t>T</m:t>
              </m:r>
              <m:r>
                <m:t>P</m:t>
              </m:r>
              <m:r>
                <m:rPr>
                  <m:sty m:val="p"/>
                </m:rPr>
                <m:t>)</m:t>
              </m:r>
            </m:num>
            <m:den>
              <m:r>
                <m:t>0.015</m:t>
              </m:r>
              <m:r>
                <m:rPr>
                  <m:sty m:val="p"/>
                </m:rPr>
                <m:t>⋅</m:t>
              </m:r>
              <m:r>
                <m:t>M</m:t>
              </m:r>
              <m:r>
                <m:t>A</m:t>
              </m:r>
              <m:sSub>
                <m:e>
                  <m:r>
                    <m:t>D</m:t>
                  </m:r>
                </m:e>
                <m:sub>
                  <m:r>
                    <m:t>20</m:t>
                  </m:r>
                </m:sub>
              </m:sSub>
              <m:r>
                <m:rPr>
                  <m:sty m:val="p"/>
                </m:rPr>
                <m:t>(</m:t>
              </m:r>
              <m:r>
                <m:t>T</m:t>
              </m:r>
              <m:r>
                <m:t>P</m:t>
              </m:r>
              <m:r>
                <m:rPr>
                  <m:sty m:val="p"/>
                </m:rPr>
                <m:t>)</m:t>
              </m:r>
            </m:den>
          </m:f>
        </m:oMath>
      </m:oMathPara>
    </w:p>
    <w:p>
      <w:pPr>
        <w:numPr>
          <w:ilvl w:val="0"/>
          <w:numId w:val="1000"/>
        </w:numPr>
      </w:pPr>
      <w:r>
        <w:t xml:space="preserve">where</w:t>
      </w:r>
      <w:r>
        <w:t xml:space="preserve"> </w:t>
      </w:r>
      <m:oMath>
        <m:r>
          <m:t>T</m:t>
        </m:r>
        <m:r>
          <m:t>P</m:t>
        </m:r>
        <m:r>
          <m:rPr>
            <m:sty m:val="p"/>
          </m:rPr>
          <m:t>=</m:t>
        </m:r>
        <m:r>
          <m:rPr>
            <m:sty m:val="p"/>
          </m:rPr>
          <m:t>(</m:t>
        </m:r>
        <m:r>
          <m:t>H</m:t>
        </m:r>
        <m:r>
          <m:rPr>
            <m:sty m:val="p"/>
          </m:rPr>
          <m:t>+</m:t>
        </m:r>
        <m:r>
          <m:t>L</m:t>
        </m:r>
        <m:r>
          <m:rPr>
            <m:sty m:val="p"/>
          </m:rPr>
          <m:t>+</m:t>
        </m:r>
        <m:r>
          <m:t>C</m:t>
        </m:r>
        <m:r>
          <m:rPr>
            <m:sty m:val="p"/>
          </m:rPr>
          <m:t>)</m:t>
        </m:r>
        <m:r>
          <m:rPr>
            <m:sty m:val="p"/>
          </m:rPr>
          <m:t>/</m:t>
        </m:r>
        <m:r>
          <m:t>3</m:t>
        </m:r>
      </m:oMath>
      <w:r>
        <w:t xml:space="preserve"> </w:t>
      </w:r>
      <w:r>
        <w:t xml:space="preserve">is typical price.</w:t>
      </w:r>
    </w:p>
    <w:p>
      <w:pPr>
        <w:numPr>
          <w:ilvl w:val="0"/>
          <w:numId w:val="1034"/>
        </w:numPr>
      </w:pPr>
      <w:r>
        <w:rPr>
          <w:b/>
          <w:bCs/>
        </w:rPr>
        <w:t xml:space="preserve">obv</w:t>
      </w:r>
      <w:r>
        <w:t xml:space="preserve"> </w:t>
      </w:r>
      <w:r>
        <w:t xml:space="preserve">(</w:t>
      </w:r>
      <m:oMath>
        <m:r>
          <m:t>o</m:t>
        </m:r>
        <m:r>
          <m:t>b</m:t>
        </m:r>
        <m:r>
          <m:t>v</m:t>
        </m:r>
      </m:oMath>
      <w:r>
        <w:t xml:space="preserve">): On-Balance Volume (normalized)</w:t>
      </w:r>
    </w:p>
    <w:p>
      <w:pPr>
        <w:pStyle w:val="BodyText"/>
      </w:pPr>
      <m:oMathPara>
        <m:oMathParaPr>
          <m:jc m:val="center"/>
        </m:oMathParaPr>
        <m:oMath>
          <m:r>
            <m:t>o</m:t>
          </m:r>
          <m:r>
            <m:t>b</m:t>
          </m:r>
          <m:sSub>
            <m:e>
              <m:r>
                <m:t>v</m:t>
              </m:r>
            </m:e>
            <m:sub>
              <m:r>
                <m:t>i</m:t>
              </m:r>
              <m:r>
                <m:rPr>
                  <m:sty m:val="p"/>
                </m:rPr>
                <m:t>,</m:t>
              </m:r>
              <m:r>
                <m:t>t</m:t>
              </m:r>
            </m:sub>
          </m:sSub>
          <m:r>
            <m:rPr>
              <m:sty m:val="p"/>
            </m:rPr>
            <m:t>=</m:t>
          </m:r>
          <m:f>
            <m:fPr>
              <m:type m:val="bar"/>
            </m:fPr>
            <m:num>
              <m:r>
                <m:t>O</m:t>
              </m:r>
              <m:r>
                <m:t>B</m:t>
              </m:r>
              <m:sSub>
                <m:e>
                  <m:r>
                    <m:t>V</m:t>
                  </m:r>
                </m:e>
                <m:sub>
                  <m:r>
                    <m:t>i</m:t>
                  </m:r>
                  <m:r>
                    <m:rPr>
                      <m:sty m:val="p"/>
                    </m:rPr>
                    <m:t>,</m:t>
                  </m:r>
                  <m:r>
                    <m:t>t</m:t>
                  </m:r>
                </m:sub>
              </m:sSub>
              <m:r>
                <m:rPr>
                  <m:sty m:val="p"/>
                </m:rPr>
                <m:t>−</m:t>
              </m:r>
              <m:r>
                <m:rPr>
                  <m:sty m:val="p"/>
                </m:rPr>
                <m:t>min</m:t>
              </m:r>
              <m:r>
                <m:rPr>
                  <m:sty m:val="p"/>
                </m:rPr>
                <m:t>(</m:t>
              </m:r>
              <m:r>
                <m:t>O</m:t>
              </m:r>
              <m:r>
                <m:t>B</m:t>
              </m:r>
              <m:sSub>
                <m:e>
                  <m:r>
                    <m:t>V</m:t>
                  </m:r>
                </m:e>
                <m:sub>
                  <m:r>
                    <m:t>20</m:t>
                  </m:r>
                </m:sub>
              </m:sSub>
              <m:r>
                <m:rPr>
                  <m:sty m:val="p"/>
                </m:rPr>
                <m:t>)</m:t>
              </m:r>
            </m:num>
            <m:den>
              <m:r>
                <m:rPr>
                  <m:sty m:val="p"/>
                </m:rPr>
                <m:t>max</m:t>
              </m:r>
              <m:r>
                <m:rPr>
                  <m:sty m:val="p"/>
                </m:rPr>
                <m:t>(</m:t>
              </m:r>
              <m:r>
                <m:t>O</m:t>
              </m:r>
              <m:r>
                <m:t>B</m:t>
              </m:r>
              <m:sSub>
                <m:e>
                  <m:r>
                    <m:t>V</m:t>
                  </m:r>
                </m:e>
                <m:sub>
                  <m:r>
                    <m:t>20</m:t>
                  </m:r>
                </m:sub>
              </m:sSub>
              <m:r>
                <m:rPr>
                  <m:sty m:val="p"/>
                </m:rPr>
                <m:t>)</m:t>
              </m:r>
              <m:r>
                <m:rPr>
                  <m:sty m:val="p"/>
                </m:rPr>
                <m:t>−</m:t>
              </m:r>
              <m:r>
                <m:rPr>
                  <m:sty m:val="p"/>
                </m:rPr>
                <m:t>min</m:t>
              </m:r>
              <m:r>
                <m:rPr>
                  <m:sty m:val="p"/>
                </m:rPr>
                <m:t>(</m:t>
              </m:r>
              <m:r>
                <m:t>O</m:t>
              </m:r>
              <m:r>
                <m:t>B</m:t>
              </m:r>
              <m:sSub>
                <m:e>
                  <m:r>
                    <m:t>V</m:t>
                  </m:r>
                </m:e>
                <m:sub>
                  <m:r>
                    <m:t>20</m:t>
                  </m:r>
                </m:sub>
              </m:sSub>
              <m:r>
                <m:rPr>
                  <m:sty m:val="p"/>
                </m:rPr>
                <m:t>)</m:t>
              </m:r>
            </m:den>
          </m:f>
        </m:oMath>
      </m:oMathPara>
    </w:p>
    <w:p>
      <w:pPr>
        <w:numPr>
          <w:ilvl w:val="0"/>
          <w:numId w:val="1000"/>
        </w:numPr>
      </w:pPr>
      <w:r>
        <w:t xml:space="preserve">where</w:t>
      </w:r>
      <w:r>
        <w:t xml:space="preserve"> </w:t>
      </w:r>
      <m:oMath>
        <m:r>
          <m:t>O</m:t>
        </m:r>
        <m:r>
          <m:t>B</m:t>
        </m:r>
        <m:sSub>
          <m:e>
            <m:r>
              <m:t>V</m:t>
            </m:r>
          </m:e>
          <m:sub>
            <m:r>
              <m:t>t</m:t>
            </m:r>
          </m:sub>
        </m:sSub>
        <m:r>
          <m:rPr>
            <m:sty m:val="p"/>
          </m:rPr>
          <m:t>=</m:t>
        </m:r>
        <m:r>
          <m:t>O</m:t>
        </m:r>
        <m:r>
          <m:t>B</m:t>
        </m:r>
        <m:sSub>
          <m:e>
            <m:r>
              <m:t>V</m:t>
            </m:r>
          </m:e>
          <m:sub>
            <m:r>
              <m:t>t</m:t>
            </m:r>
            <m:r>
              <m:rPr>
                <m:sty m:val="p"/>
              </m:rPr>
              <m:t>−</m:t>
            </m:r>
            <m:r>
              <m:t>1</m:t>
            </m:r>
          </m:sub>
        </m:sSub>
        <m:r>
          <m:rPr>
            <m:sty m:val="p"/>
          </m:rPr>
          <m:t>+</m:t>
        </m:r>
        <m:r>
          <m:t>V</m:t>
        </m:r>
        <m:r>
          <m:t>O</m:t>
        </m:r>
        <m:sSub>
          <m:e>
            <m:r>
              <m:t>L</m:t>
            </m:r>
          </m:e>
          <m:sub>
            <m:r>
              <m:t>t</m:t>
            </m:r>
          </m:sub>
        </m:sSub>
        <m:r>
          <m:rPr>
            <m:sty m:val="p"/>
          </m:rPr>
          <m:t>⋅</m:t>
        </m:r>
        <m:r>
          <m:rPr>
            <m:nor/>
            <m:sty m:val="p"/>
          </m:rPr>
          <m:t>sign</m:t>
        </m:r>
        <m:r>
          <m:rPr>
            <m:sty m:val="p"/>
          </m:rPr>
          <m:t>(</m:t>
        </m:r>
        <m:sSub>
          <m:e>
            <m:r>
              <m:t>P</m:t>
            </m:r>
          </m:e>
          <m:sub>
            <m:r>
              <m:t>t</m:t>
            </m:r>
          </m:sub>
        </m:sSub>
        <m:r>
          <m:rPr>
            <m:sty m:val="p"/>
          </m:rPr>
          <m:t>−</m:t>
        </m:r>
        <m:sSub>
          <m:e>
            <m:r>
              <m:t>P</m:t>
            </m:r>
          </m:e>
          <m:sub>
            <m:r>
              <m:t>t</m:t>
            </m:r>
            <m:r>
              <m:rPr>
                <m:sty m:val="p"/>
              </m:rPr>
              <m:t>−</m:t>
            </m:r>
            <m:r>
              <m:t>1</m:t>
            </m:r>
          </m:sub>
        </m:sSub>
        <m:r>
          <m:rPr>
            <m:sty m:val="p"/>
          </m:rPr>
          <m:t>)</m:t>
        </m:r>
      </m:oMath>
      <w:r>
        <w:t xml:space="preserve">.</w:t>
      </w:r>
    </w:p>
    <w:p>
      <w:pPr>
        <w:numPr>
          <w:ilvl w:val="0"/>
          <w:numId w:val="1034"/>
        </w:numPr>
      </w:pPr>
      <w:r>
        <w:rPr>
          <w:b/>
          <w:bCs/>
        </w:rPr>
        <w:t xml:space="preserve">kdj</w:t>
      </w:r>
      <w:r>
        <w:t xml:space="preserve"> </w:t>
      </w:r>
      <w:r>
        <w:t xml:space="preserve">(</w:t>
      </w:r>
      <m:oMath>
        <m:r>
          <m:t>k</m:t>
        </m:r>
        <m:r>
          <m:t>d</m:t>
        </m:r>
        <m:r>
          <m:t>j</m:t>
        </m:r>
      </m:oMath>
      <w:r>
        <w:t xml:space="preserve">): KDJ indicator (K-D difference)</w:t>
      </w:r>
    </w:p>
    <w:p>
      <w:pPr>
        <w:pStyle w:val="BodyText"/>
      </w:pPr>
      <m:oMathPara>
        <m:oMathParaPr>
          <m:jc m:val="center"/>
        </m:oMathParaPr>
        <m:oMath>
          <m:r>
            <m:t>k</m:t>
          </m:r>
          <m:r>
            <m:t>d</m:t>
          </m:r>
          <m:sSub>
            <m:e>
              <m:r>
                <m:t>j</m:t>
              </m:r>
            </m:e>
            <m:sub>
              <m:r>
                <m:t>i</m:t>
              </m:r>
              <m:r>
                <m:rPr>
                  <m:sty m:val="p"/>
                </m:rPr>
                <m:t>,</m:t>
              </m:r>
              <m:r>
                <m:t>t</m:t>
              </m:r>
            </m:sub>
          </m:sSub>
          <m:r>
            <m:rPr>
              <m:sty m:val="p"/>
            </m:rPr>
            <m:t>=</m:t>
          </m:r>
          <m:sSub>
            <m:e>
              <m:r>
                <m:t>K</m:t>
              </m:r>
            </m:e>
            <m:sub>
              <m:r>
                <m:t>t</m:t>
              </m:r>
            </m:sub>
          </m:sSub>
          <m:r>
            <m:rPr>
              <m:sty m:val="p"/>
            </m:rPr>
            <m:t>−</m:t>
          </m:r>
          <m:sSub>
            <m:e>
              <m:r>
                <m:t>D</m:t>
              </m:r>
            </m:e>
            <m:sub>
              <m:r>
                <m:t>t</m:t>
              </m:r>
            </m:sub>
          </m:sSub>
        </m:oMath>
      </m:oMathPara>
    </w:p>
    <w:p>
      <w:pPr>
        <w:numPr>
          <w:ilvl w:val="0"/>
          <w:numId w:val="1000"/>
        </w:numPr>
      </w:pPr>
      <w:r>
        <w:t xml:space="preserve">where</w:t>
      </w:r>
      <w:r>
        <w:t xml:space="preserve"> </w:t>
      </w:r>
      <m:oMath>
        <m:sSub>
          <m:e>
            <m:r>
              <m:t>K</m:t>
            </m:r>
          </m:e>
          <m:sub>
            <m:r>
              <m:t>t</m:t>
            </m:r>
          </m:sub>
        </m:sSub>
      </m:oMath>
      <w:r>
        <w:t xml:space="preserve"> </w:t>
      </w:r>
      <w:r>
        <w:t xml:space="preserve">and</w:t>
      </w:r>
      <w:r>
        <w:t xml:space="preserve"> </w:t>
      </w:r>
      <m:oMath>
        <m:sSub>
          <m:e>
            <m:r>
              <m:t>D</m:t>
            </m:r>
          </m:e>
          <m:sub>
            <m:r>
              <m:t>t</m:t>
            </m:r>
          </m:sub>
        </m:sSub>
      </m:oMath>
      <w:r>
        <w:t xml:space="preserve"> </w:t>
      </w:r>
      <w:r>
        <w:t xml:space="preserve">are standard K and D lines with 9-day lookback.</w:t>
      </w:r>
    </w:p>
    <w:bookmarkEnd w:id="95"/>
    <w:bookmarkStart w:id="96" w:name="volatility-factors-5-factors"/>
    <w:p>
      <w:pPr>
        <w:pStyle w:val="Heading2"/>
      </w:pPr>
      <w:r>
        <w:t xml:space="preserve">Volatility Factors (5 factors)</w:t>
      </w:r>
    </w:p>
    <w:p>
      <w:pPr>
        <w:numPr>
          <w:ilvl w:val="0"/>
          <w:numId w:val="1035"/>
        </w:numPr>
      </w:pPr>
      <w:r>
        <w:rPr>
          <w:b/>
          <w:bCs/>
        </w:rPr>
        <w:t xml:space="preserve">volatility_1m</w:t>
      </w:r>
      <w:r>
        <w:t xml:space="preserve"> </w:t>
      </w:r>
      <w:r>
        <w:t xml:space="preserve">(</w:t>
      </w:r>
      <m:oMath>
        <m:r>
          <m:t>v</m:t>
        </m:r>
        <m:r>
          <m:t>o</m:t>
        </m:r>
        <m:sSub>
          <m:e>
            <m:r>
              <m:t>l</m:t>
            </m:r>
          </m:e>
          <m:sub>
            <m:r>
              <m:t>1</m:t>
            </m:r>
            <m:r>
              <m:t>m</m:t>
            </m:r>
          </m:sub>
        </m:sSub>
      </m:oMath>
      <w:r>
        <w:t xml:space="preserve">): 20-day realized volatility</w:t>
      </w:r>
    </w:p>
    <w:p>
      <w:pPr>
        <w:pStyle w:val="BodyText"/>
      </w:pPr>
      <m:oMathPara>
        <m:oMathParaPr>
          <m:jc m:val="center"/>
        </m:oMathParaPr>
        <m:oMath>
          <m:r>
            <m:t>v</m:t>
          </m:r>
          <m:r>
            <m:t>o</m:t>
          </m:r>
          <m:sSub>
            <m:e>
              <m:r>
                <m:t>l</m:t>
              </m:r>
            </m:e>
            <m:sub>
              <m:r>
                <m:t>1</m:t>
              </m:r>
              <m:r>
                <m:t>m</m:t>
              </m:r>
              <m:r>
                <m:rPr>
                  <m:sty m:val="p"/>
                </m:rPr>
                <m:t>,</m:t>
              </m:r>
              <m:r>
                <m:t>i</m:t>
              </m:r>
              <m:r>
                <m:rPr>
                  <m:sty m:val="p"/>
                </m:rPr>
                <m:t>,</m:t>
              </m:r>
              <m:r>
                <m:t>t</m:t>
              </m:r>
            </m:sub>
          </m:sSub>
          <m:r>
            <m:rPr>
              <m:sty m:val="p"/>
            </m:rPr>
            <m:t>=</m:t>
          </m:r>
          <m:rad>
            <m:radPr>
              <m:degHide m:val="on"/>
            </m:radPr>
            <m:deg/>
            <m:e>
              <m:f>
                <m:fPr>
                  <m:type m:val="bar"/>
                </m:fPr>
                <m:num>
                  <m:r>
                    <m:t>252</m:t>
                  </m:r>
                </m:num>
                <m:den>
                  <m:r>
                    <m:t>20</m:t>
                  </m:r>
                </m:den>
              </m:f>
              <m:nary>
                <m:naryPr>
                  <m:chr m:val="∑"/>
                  <m:limLoc m:val="undOvr"/>
                  <m:subHide m:val="off"/>
                  <m:supHide m:val="off"/>
                </m:naryPr>
                <m:sub>
                  <m:r>
                    <m:t>k</m:t>
                  </m:r>
                  <m:r>
                    <m:rPr>
                      <m:sty m:val="p"/>
                    </m:rPr>
                    <m:t>=</m:t>
                  </m:r>
                  <m:r>
                    <m:t>1</m:t>
                  </m:r>
                </m:sub>
                <m:sup>
                  <m:r>
                    <m:t>20</m:t>
                  </m:r>
                </m:sup>
                <m:e>
                  <m:sSubSup>
                    <m:e>
                      <m:r>
                        <m:t>r</m:t>
                      </m:r>
                    </m:e>
                    <m:sub>
                      <m:r>
                        <m:t>i</m:t>
                      </m:r>
                      <m:r>
                        <m:rPr>
                          <m:sty m:val="p"/>
                        </m:rPr>
                        <m:t>,</m:t>
                      </m:r>
                      <m:r>
                        <m:t>t</m:t>
                      </m:r>
                      <m:r>
                        <m:rPr>
                          <m:sty m:val="p"/>
                        </m:rPr>
                        <m:t>−</m:t>
                      </m:r>
                      <m:r>
                        <m:t>k</m:t>
                      </m:r>
                    </m:sub>
                    <m:sup>
                      <m:r>
                        <m:t>2</m:t>
                      </m:r>
                    </m:sup>
                  </m:sSubSup>
                </m:e>
              </m:nary>
            </m:e>
          </m:rad>
        </m:oMath>
      </m:oMathPara>
    </w:p>
    <w:p>
      <w:pPr>
        <w:numPr>
          <w:ilvl w:val="0"/>
          <w:numId w:val="1035"/>
        </w:numPr>
      </w:pPr>
      <w:r>
        <w:rPr>
          <w:b/>
          <w:bCs/>
        </w:rPr>
        <w:t xml:space="preserve">volatility_3m</w:t>
      </w:r>
      <w:r>
        <w:t xml:space="preserve"> </w:t>
      </w:r>
      <w:r>
        <w:t xml:space="preserve">(</w:t>
      </w:r>
      <m:oMath>
        <m:r>
          <m:t>v</m:t>
        </m:r>
        <m:r>
          <m:t>o</m:t>
        </m:r>
        <m:sSub>
          <m:e>
            <m:r>
              <m:t>l</m:t>
            </m:r>
          </m:e>
          <m:sub>
            <m:r>
              <m:t>3</m:t>
            </m:r>
            <m:r>
              <m:t>m</m:t>
            </m:r>
          </m:sub>
        </m:sSub>
      </m:oMath>
      <w:r>
        <w:t xml:space="preserve">): 60-day realized volatility</w:t>
      </w:r>
    </w:p>
    <w:p>
      <w:pPr>
        <w:pStyle w:val="BodyText"/>
      </w:pPr>
      <m:oMathPara>
        <m:oMathParaPr>
          <m:jc m:val="center"/>
        </m:oMathParaPr>
        <m:oMath>
          <m:r>
            <m:t>v</m:t>
          </m:r>
          <m:r>
            <m:t>o</m:t>
          </m:r>
          <m:sSub>
            <m:e>
              <m:r>
                <m:t>l</m:t>
              </m:r>
            </m:e>
            <m:sub>
              <m:r>
                <m:t>3</m:t>
              </m:r>
              <m:r>
                <m:t>m</m:t>
              </m:r>
              <m:r>
                <m:rPr>
                  <m:sty m:val="p"/>
                </m:rPr>
                <m:t>,</m:t>
              </m:r>
              <m:r>
                <m:t>i</m:t>
              </m:r>
              <m:r>
                <m:rPr>
                  <m:sty m:val="p"/>
                </m:rPr>
                <m:t>,</m:t>
              </m:r>
              <m:r>
                <m:t>t</m:t>
              </m:r>
            </m:sub>
          </m:sSub>
          <m:r>
            <m:rPr>
              <m:sty m:val="p"/>
            </m:rPr>
            <m:t>=</m:t>
          </m:r>
          <m:rad>
            <m:radPr>
              <m:degHide m:val="on"/>
            </m:radPr>
            <m:deg/>
            <m:e>
              <m:f>
                <m:fPr>
                  <m:type m:val="bar"/>
                </m:fPr>
                <m:num>
                  <m:r>
                    <m:t>252</m:t>
                  </m:r>
                </m:num>
                <m:den>
                  <m:r>
                    <m:t>60</m:t>
                  </m:r>
                </m:den>
              </m:f>
              <m:nary>
                <m:naryPr>
                  <m:chr m:val="∑"/>
                  <m:limLoc m:val="undOvr"/>
                  <m:subHide m:val="off"/>
                  <m:supHide m:val="off"/>
                </m:naryPr>
                <m:sub>
                  <m:r>
                    <m:t>k</m:t>
                  </m:r>
                  <m:r>
                    <m:rPr>
                      <m:sty m:val="p"/>
                    </m:rPr>
                    <m:t>=</m:t>
                  </m:r>
                  <m:r>
                    <m:t>1</m:t>
                  </m:r>
                </m:sub>
                <m:sup>
                  <m:r>
                    <m:t>60</m:t>
                  </m:r>
                </m:sup>
                <m:e>
                  <m:sSubSup>
                    <m:e>
                      <m:r>
                        <m:t>r</m:t>
                      </m:r>
                    </m:e>
                    <m:sub>
                      <m:r>
                        <m:t>i</m:t>
                      </m:r>
                      <m:r>
                        <m:rPr>
                          <m:sty m:val="p"/>
                        </m:rPr>
                        <m:t>,</m:t>
                      </m:r>
                      <m:r>
                        <m:t>t</m:t>
                      </m:r>
                      <m:r>
                        <m:rPr>
                          <m:sty m:val="p"/>
                        </m:rPr>
                        <m:t>−</m:t>
                      </m:r>
                      <m:r>
                        <m:t>k</m:t>
                      </m:r>
                    </m:sub>
                    <m:sup>
                      <m:r>
                        <m:t>2</m:t>
                      </m:r>
                    </m:sup>
                  </m:sSubSup>
                </m:e>
              </m:nary>
            </m:e>
          </m:rad>
        </m:oMath>
      </m:oMathPara>
    </w:p>
    <w:p>
      <w:pPr>
        <w:numPr>
          <w:ilvl w:val="0"/>
          <w:numId w:val="1035"/>
        </w:numPr>
      </w:pPr>
      <w:r>
        <w:rPr>
          <w:b/>
          <w:bCs/>
        </w:rPr>
        <w:t xml:space="preserve">return_skew</w:t>
      </w:r>
      <w:r>
        <w:t xml:space="preserve"> </w:t>
      </w:r>
      <w:r>
        <w:t xml:space="preserve">(</w:t>
      </w:r>
      <m:oMath>
        <m:r>
          <m:t>s</m:t>
        </m:r>
        <m:r>
          <m:t>k</m:t>
        </m:r>
        <m:r>
          <m:t>e</m:t>
        </m:r>
        <m:r>
          <m:t>w</m:t>
        </m:r>
      </m:oMath>
      <w:r>
        <w:t xml:space="preserve">): 60-day return skewness</w:t>
      </w:r>
    </w:p>
    <w:p>
      <w:pPr>
        <w:pStyle w:val="BodyText"/>
      </w:pPr>
      <m:oMathPara>
        <m:oMathParaPr>
          <m:jc m:val="center"/>
        </m:oMathParaPr>
        <m:oMath>
          <m:r>
            <m:t>s</m:t>
          </m:r>
          <m:r>
            <m:t>k</m:t>
          </m:r>
          <m:r>
            <m:t>e</m:t>
          </m:r>
          <m:sSub>
            <m:e>
              <m:r>
                <m:t>w</m:t>
              </m:r>
            </m:e>
            <m:sub>
              <m:r>
                <m:t>i</m:t>
              </m:r>
              <m:r>
                <m:rPr>
                  <m:sty m:val="p"/>
                </m:rPr>
                <m:t>,</m:t>
              </m:r>
              <m:r>
                <m:t>t</m:t>
              </m:r>
            </m:sub>
          </m:sSub>
          <m:r>
            <m:rPr>
              <m:sty m:val="p"/>
            </m:rPr>
            <m:t>=</m:t>
          </m:r>
          <m:r>
            <m:rPr>
              <m:sty m:val="p"/>
            </m:rPr>
            <m:t>−</m:t>
          </m:r>
          <m:f>
            <m:fPr>
              <m:type m:val="bar"/>
            </m:fPr>
            <m:num>
              <m:f>
                <m:fPr>
                  <m:type m:val="bar"/>
                </m:fPr>
                <m:num>
                  <m:r>
                    <m:t>1</m:t>
                  </m:r>
                </m:num>
                <m:den>
                  <m:r>
                    <m:t>60</m:t>
                  </m:r>
                </m:den>
              </m:f>
              <m:nary>
                <m:naryPr>
                  <m:chr m:val="∑"/>
                  <m:limLoc m:val="undOvr"/>
                  <m:subHide m:val="off"/>
                  <m:supHide m:val="off"/>
                </m:naryPr>
                <m:sub>
                  <m:r>
                    <m:t>k</m:t>
                  </m:r>
                  <m:r>
                    <m:rPr>
                      <m:sty m:val="p"/>
                    </m:rPr>
                    <m:t>=</m:t>
                  </m:r>
                  <m:r>
                    <m:t>1</m:t>
                  </m:r>
                </m:sub>
                <m:sup>
                  <m:r>
                    <m:t>60</m:t>
                  </m:r>
                </m:sup>
                <m:e>
                  <m:r>
                    <m:rPr>
                      <m:sty m:val="p"/>
                    </m:rPr>
                    <m:t>(</m:t>
                  </m:r>
                </m:e>
              </m:nary>
              <m:sSub>
                <m:e>
                  <m:r>
                    <m:t>r</m:t>
                  </m:r>
                </m:e>
                <m:sub>
                  <m:r>
                    <m:t>i</m:t>
                  </m:r>
                  <m:r>
                    <m:rPr>
                      <m:sty m:val="p"/>
                    </m:rPr>
                    <m:t>,</m:t>
                  </m:r>
                  <m:r>
                    <m:t>t</m:t>
                  </m:r>
                  <m:r>
                    <m:rPr>
                      <m:sty m:val="p"/>
                    </m:rPr>
                    <m:t>−</m:t>
                  </m:r>
                  <m:r>
                    <m:t>k</m:t>
                  </m:r>
                </m:sub>
              </m:sSub>
              <m:r>
                <m:rPr>
                  <m:sty m:val="p"/>
                </m:rPr>
                <m:t>−</m:t>
              </m:r>
              <m:acc>
                <m:accPr>
                  <m:chr m:val="‾"/>
                </m:accPr>
                <m:e>
                  <m:r>
                    <m:t>r</m:t>
                  </m:r>
                </m:e>
              </m:acc>
              <m:sSup>
                <m:e>
                  <m:r>
                    <m:rPr>
                      <m:sty m:val="p"/>
                    </m:rPr>
                    <m:t>)</m:t>
                  </m:r>
                </m:e>
                <m:sup>
                  <m:r>
                    <m:t>3</m:t>
                  </m:r>
                </m:sup>
              </m:sSup>
            </m:num>
            <m:den>
              <m:sSup>
                <m:e>
                  <m:d>
                    <m:dPr>
                      <m:begChr m:val="("/>
                      <m:sepChr m:val=""/>
                      <m:endChr m:val=")"/>
                      <m:grow/>
                    </m:dPr>
                    <m:e>
                      <m:f>
                        <m:fPr>
                          <m:type m:val="bar"/>
                        </m:fPr>
                        <m:num>
                          <m:r>
                            <m:t>1</m:t>
                          </m:r>
                        </m:num>
                        <m:den>
                          <m:r>
                            <m:t>60</m:t>
                          </m:r>
                        </m:den>
                      </m:f>
                      <m:nary>
                        <m:naryPr>
                          <m:chr m:val="∑"/>
                          <m:limLoc m:val="undOvr"/>
                          <m:subHide m:val="off"/>
                          <m:supHide m:val="off"/>
                        </m:naryPr>
                        <m:sub>
                          <m:r>
                            <m:t>k</m:t>
                          </m:r>
                          <m:r>
                            <m:rPr>
                              <m:sty m:val="p"/>
                            </m:rPr>
                            <m:t>=</m:t>
                          </m:r>
                          <m:r>
                            <m:t>1</m:t>
                          </m:r>
                        </m:sub>
                        <m:sup>
                          <m:r>
                            <m:t>60</m:t>
                          </m:r>
                        </m:sup>
                        <m:e>
                          <m:r>
                            <m:rPr>
                              <m:sty m:val="p"/>
                            </m:rPr>
                            <m:t>(</m:t>
                          </m:r>
                        </m:e>
                      </m:nary>
                      <m:sSub>
                        <m:e>
                          <m:r>
                            <m:t>r</m:t>
                          </m:r>
                        </m:e>
                        <m:sub>
                          <m:r>
                            <m:t>i</m:t>
                          </m:r>
                          <m:r>
                            <m:rPr>
                              <m:sty m:val="p"/>
                            </m:rPr>
                            <m:t>,</m:t>
                          </m:r>
                          <m:r>
                            <m:t>t</m:t>
                          </m:r>
                          <m:r>
                            <m:rPr>
                              <m:sty m:val="p"/>
                            </m:rPr>
                            <m:t>−</m:t>
                          </m:r>
                          <m:r>
                            <m:t>k</m:t>
                          </m:r>
                        </m:sub>
                      </m:sSub>
                      <m:r>
                        <m:rPr>
                          <m:sty m:val="p"/>
                        </m:rPr>
                        <m:t>−</m:t>
                      </m:r>
                      <m:acc>
                        <m:accPr>
                          <m:chr m:val="‾"/>
                        </m:accPr>
                        <m:e>
                          <m:r>
                            <m:t>r</m:t>
                          </m:r>
                        </m:e>
                      </m:acc>
                      <m:sSup>
                        <m:e>
                          <m:r>
                            <m:rPr>
                              <m:sty m:val="p"/>
                            </m:rPr>
                            <m:t>)</m:t>
                          </m:r>
                        </m:e>
                        <m:sup>
                          <m:r>
                            <m:t>2</m:t>
                          </m:r>
                        </m:sup>
                      </m:sSup>
                    </m:e>
                  </m:d>
                </m:e>
                <m:sup>
                  <m:r>
                    <m:t>3</m:t>
                  </m:r>
                  <m:r>
                    <m:rPr>
                      <m:sty m:val="p"/>
                    </m:rPr>
                    <m:t>/</m:t>
                  </m:r>
                  <m:r>
                    <m:t>2</m:t>
                  </m:r>
                </m:sup>
              </m:sSup>
            </m:den>
          </m:f>
        </m:oMath>
      </m:oMathPara>
    </w:p>
    <w:p>
      <w:pPr>
        <w:numPr>
          <w:ilvl w:val="0"/>
          <w:numId w:val="1000"/>
        </w:numPr>
      </w:pPr>
      <w:r>
        <w:t xml:space="preserve">Negative transformation as negative skewness is associated with higher future returns.</w:t>
      </w:r>
    </w:p>
    <w:p>
      <w:pPr>
        <w:numPr>
          <w:ilvl w:val="0"/>
          <w:numId w:val="1035"/>
        </w:numPr>
      </w:pPr>
      <w:r>
        <w:rPr>
          <w:b/>
          <w:bCs/>
        </w:rPr>
        <w:t xml:space="preserve">return_kurt</w:t>
      </w:r>
      <w:r>
        <w:t xml:space="preserve"> </w:t>
      </w:r>
      <w:r>
        <w:t xml:space="preserve">(</w:t>
      </w:r>
      <m:oMath>
        <m:r>
          <m:t>k</m:t>
        </m:r>
        <m:r>
          <m:t>u</m:t>
        </m:r>
        <m:r>
          <m:t>r</m:t>
        </m:r>
        <m:r>
          <m:t>t</m:t>
        </m:r>
      </m:oMath>
      <w:r>
        <w:t xml:space="preserve">): 60-day return kurtosis</w:t>
      </w:r>
    </w:p>
    <w:p>
      <w:pPr>
        <w:pStyle w:val="BodyText"/>
      </w:pPr>
      <m:oMathPara>
        <m:oMathParaPr>
          <m:jc m:val="center"/>
        </m:oMathParaPr>
        <m:oMath>
          <m:r>
            <m:t>k</m:t>
          </m:r>
          <m:r>
            <m:t>u</m:t>
          </m:r>
          <m:r>
            <m:t>r</m:t>
          </m:r>
          <m:sSub>
            <m:e>
              <m:r>
                <m:t>t</m:t>
              </m:r>
            </m:e>
            <m:sub>
              <m:r>
                <m:t>i</m:t>
              </m:r>
              <m:r>
                <m:rPr>
                  <m:sty m:val="p"/>
                </m:rPr>
                <m:t>,</m:t>
              </m:r>
              <m:r>
                <m:t>t</m:t>
              </m:r>
            </m:sub>
          </m:sSub>
          <m:r>
            <m:rPr>
              <m:sty m:val="p"/>
            </m:rPr>
            <m:t>=</m:t>
          </m:r>
          <m:r>
            <m:rPr>
              <m:sty m:val="p"/>
            </m:rPr>
            <m:t>−</m:t>
          </m:r>
          <m:d>
            <m:dPr>
              <m:begChr m:val="["/>
              <m:sepChr m:val=""/>
              <m:endChr m:val="]"/>
              <m:grow/>
            </m:dPr>
            <m:e>
              <m:f>
                <m:fPr>
                  <m:type m:val="bar"/>
                </m:fPr>
                <m:num>
                  <m:f>
                    <m:fPr>
                      <m:type m:val="bar"/>
                    </m:fPr>
                    <m:num>
                      <m:r>
                        <m:t>1</m:t>
                      </m:r>
                    </m:num>
                    <m:den>
                      <m:r>
                        <m:t>60</m:t>
                      </m:r>
                    </m:den>
                  </m:f>
                  <m:nary>
                    <m:naryPr>
                      <m:chr m:val="∑"/>
                      <m:limLoc m:val="undOvr"/>
                      <m:subHide m:val="off"/>
                      <m:supHide m:val="off"/>
                    </m:naryPr>
                    <m:sub>
                      <m:r>
                        <m:t>k</m:t>
                      </m:r>
                      <m:r>
                        <m:rPr>
                          <m:sty m:val="p"/>
                        </m:rPr>
                        <m:t>=</m:t>
                      </m:r>
                      <m:r>
                        <m:t>1</m:t>
                      </m:r>
                    </m:sub>
                    <m:sup>
                      <m:r>
                        <m:t>60</m:t>
                      </m:r>
                    </m:sup>
                    <m:e>
                      <m:r>
                        <m:rPr>
                          <m:sty m:val="p"/>
                        </m:rPr>
                        <m:t>(</m:t>
                      </m:r>
                    </m:e>
                  </m:nary>
                  <m:sSub>
                    <m:e>
                      <m:r>
                        <m:t>r</m:t>
                      </m:r>
                    </m:e>
                    <m:sub>
                      <m:r>
                        <m:t>i</m:t>
                      </m:r>
                      <m:r>
                        <m:rPr>
                          <m:sty m:val="p"/>
                        </m:rPr>
                        <m:t>,</m:t>
                      </m:r>
                      <m:r>
                        <m:t>t</m:t>
                      </m:r>
                      <m:r>
                        <m:rPr>
                          <m:sty m:val="p"/>
                        </m:rPr>
                        <m:t>−</m:t>
                      </m:r>
                      <m:r>
                        <m:t>k</m:t>
                      </m:r>
                    </m:sub>
                  </m:sSub>
                  <m:r>
                    <m:rPr>
                      <m:sty m:val="p"/>
                    </m:rPr>
                    <m:t>−</m:t>
                  </m:r>
                  <m:acc>
                    <m:accPr>
                      <m:chr m:val="‾"/>
                    </m:accPr>
                    <m:e>
                      <m:r>
                        <m:t>r</m:t>
                      </m:r>
                    </m:e>
                  </m:acc>
                  <m:sSup>
                    <m:e>
                      <m:r>
                        <m:rPr>
                          <m:sty m:val="p"/>
                        </m:rPr>
                        <m:t>)</m:t>
                      </m:r>
                    </m:e>
                    <m:sup>
                      <m:r>
                        <m:t>4</m:t>
                      </m:r>
                    </m:sup>
                  </m:sSup>
                </m:num>
                <m:den>
                  <m:sSup>
                    <m:e>
                      <m:d>
                        <m:dPr>
                          <m:begChr m:val="("/>
                          <m:sepChr m:val=""/>
                          <m:endChr m:val=")"/>
                          <m:grow/>
                        </m:dPr>
                        <m:e>
                          <m:f>
                            <m:fPr>
                              <m:type m:val="bar"/>
                            </m:fPr>
                            <m:num>
                              <m:r>
                                <m:t>1</m:t>
                              </m:r>
                            </m:num>
                            <m:den>
                              <m:r>
                                <m:t>60</m:t>
                              </m:r>
                            </m:den>
                          </m:f>
                          <m:nary>
                            <m:naryPr>
                              <m:chr m:val="∑"/>
                              <m:limLoc m:val="undOvr"/>
                              <m:subHide m:val="off"/>
                              <m:supHide m:val="off"/>
                            </m:naryPr>
                            <m:sub>
                              <m:r>
                                <m:t>k</m:t>
                              </m:r>
                              <m:r>
                                <m:rPr>
                                  <m:sty m:val="p"/>
                                </m:rPr>
                                <m:t>=</m:t>
                              </m:r>
                              <m:r>
                                <m:t>1</m:t>
                              </m:r>
                            </m:sub>
                            <m:sup>
                              <m:r>
                                <m:t>60</m:t>
                              </m:r>
                            </m:sup>
                            <m:e>
                              <m:r>
                                <m:rPr>
                                  <m:sty m:val="p"/>
                                </m:rPr>
                                <m:t>(</m:t>
                              </m:r>
                            </m:e>
                          </m:nary>
                          <m:sSub>
                            <m:e>
                              <m:r>
                                <m:t>r</m:t>
                              </m:r>
                            </m:e>
                            <m:sub>
                              <m:r>
                                <m:t>i</m:t>
                              </m:r>
                              <m:r>
                                <m:rPr>
                                  <m:sty m:val="p"/>
                                </m:rPr>
                                <m:t>,</m:t>
                              </m:r>
                              <m:r>
                                <m:t>t</m:t>
                              </m:r>
                              <m:r>
                                <m:rPr>
                                  <m:sty m:val="p"/>
                                </m:rPr>
                                <m:t>−</m:t>
                              </m:r>
                              <m:r>
                                <m:t>k</m:t>
                              </m:r>
                            </m:sub>
                          </m:sSub>
                          <m:r>
                            <m:rPr>
                              <m:sty m:val="p"/>
                            </m:rPr>
                            <m:t>−</m:t>
                          </m:r>
                          <m:acc>
                            <m:accPr>
                              <m:chr m:val="‾"/>
                            </m:accPr>
                            <m:e>
                              <m:r>
                                <m:t>r</m:t>
                              </m:r>
                            </m:e>
                          </m:acc>
                          <m:sSup>
                            <m:e>
                              <m:r>
                                <m:rPr>
                                  <m:sty m:val="p"/>
                                </m:rPr>
                                <m:t>)</m:t>
                              </m:r>
                            </m:e>
                            <m:sup>
                              <m:r>
                                <m:t>2</m:t>
                              </m:r>
                            </m:sup>
                          </m:sSup>
                        </m:e>
                      </m:d>
                    </m:e>
                    <m:sup>
                      <m:r>
                        <m:t>2</m:t>
                      </m:r>
                    </m:sup>
                  </m:sSup>
                </m:den>
              </m:f>
              <m:r>
                <m:rPr>
                  <m:sty m:val="p"/>
                </m:rPr>
                <m:t>−</m:t>
              </m:r>
              <m:r>
                <m:t>3</m:t>
              </m:r>
            </m:e>
          </m:d>
        </m:oMath>
      </m:oMathPara>
    </w:p>
    <w:p>
      <w:pPr>
        <w:numPr>
          <w:ilvl w:val="0"/>
          <w:numId w:val="1000"/>
        </w:numPr>
      </w:pPr>
      <w:r>
        <w:t xml:space="preserve">Negative transformation as excess kurtosis (fat tails) indicates higher crash risk.</w:t>
      </w:r>
    </w:p>
    <w:p>
      <w:pPr>
        <w:numPr>
          <w:ilvl w:val="0"/>
          <w:numId w:val="1035"/>
        </w:numPr>
      </w:pPr>
      <w:r>
        <w:rPr>
          <w:b/>
          <w:bCs/>
        </w:rPr>
        <w:t xml:space="preserve">downside_vol</w:t>
      </w:r>
      <w:r>
        <w:t xml:space="preserve"> </w:t>
      </w:r>
      <w:r>
        <w:t xml:space="preserve">(</w:t>
      </w:r>
      <m:oMath>
        <m:r>
          <m:t>d</m:t>
        </m:r>
        <m:r>
          <m:t>v</m:t>
        </m:r>
        <m:r>
          <m:t>o</m:t>
        </m:r>
        <m:r>
          <m:t>l</m:t>
        </m:r>
      </m:oMath>
      <w:r>
        <w:t xml:space="preserve">): Downside volatility (semi-deviation)</w:t>
      </w:r>
    </w:p>
    <w:p>
      <w:pPr>
        <w:pStyle w:val="BodyText"/>
      </w:pPr>
      <m:oMathPara>
        <m:oMathParaPr>
          <m:jc m:val="center"/>
        </m:oMathParaPr>
        <m:oMath>
          <m:r>
            <m:t>d</m:t>
          </m:r>
          <m:r>
            <m:t>v</m:t>
          </m:r>
          <m:r>
            <m:t>o</m:t>
          </m:r>
          <m:sSub>
            <m:e>
              <m:r>
                <m:t>l</m:t>
              </m:r>
            </m:e>
            <m:sub>
              <m:r>
                <m:t>i</m:t>
              </m:r>
              <m:r>
                <m:rPr>
                  <m:sty m:val="p"/>
                </m:rPr>
                <m:t>,</m:t>
              </m:r>
              <m:r>
                <m:t>t</m:t>
              </m:r>
            </m:sub>
          </m:sSub>
          <m:r>
            <m:rPr>
              <m:sty m:val="p"/>
            </m:rPr>
            <m:t>=</m:t>
          </m:r>
          <m:rad>
            <m:radPr>
              <m:degHide m:val="on"/>
            </m:radPr>
            <m:deg/>
            <m:e>
              <m:f>
                <m:fPr>
                  <m:type m:val="bar"/>
                </m:fPr>
                <m:num>
                  <m:r>
                    <m:t>252</m:t>
                  </m:r>
                </m:num>
                <m:den>
                  <m:r>
                    <m:t>60</m:t>
                  </m:r>
                </m:den>
              </m:f>
              <m:nary>
                <m:naryPr>
                  <m:chr m:val="∑"/>
                  <m:limLoc m:val="undOvr"/>
                  <m:subHide m:val="off"/>
                  <m:supHide m:val="off"/>
                </m:naryPr>
                <m:sub>
                  <m:r>
                    <m:t>k</m:t>
                  </m:r>
                  <m:r>
                    <m:rPr>
                      <m:sty m:val="p"/>
                    </m:rPr>
                    <m:t>=</m:t>
                  </m:r>
                  <m:r>
                    <m:t>1</m:t>
                  </m:r>
                </m:sub>
                <m:sup>
                  <m:r>
                    <m:t>60</m:t>
                  </m:r>
                </m:sup>
                <m:e>
                  <m:r>
                    <m:rPr>
                      <m:sty m:val="p"/>
                    </m:rPr>
                    <m:t>min</m:t>
                  </m:r>
                </m:e>
              </m:nary>
              <m:r>
                <m:rPr>
                  <m:sty m:val="p"/>
                </m:rPr>
                <m:t>(</m:t>
              </m:r>
              <m:r>
                <m:t>0</m:t>
              </m:r>
              <m:r>
                <m:rPr>
                  <m:sty m:val="p"/>
                </m:rPr>
                <m:t>,</m:t>
              </m:r>
              <m:sSub>
                <m:e>
                  <m:r>
                    <m:t>r</m:t>
                  </m:r>
                </m:e>
                <m:sub>
                  <m:r>
                    <m:t>i</m:t>
                  </m:r>
                  <m:r>
                    <m:rPr>
                      <m:sty m:val="p"/>
                    </m:rPr>
                    <m:t>,</m:t>
                  </m:r>
                  <m:r>
                    <m:t>t</m:t>
                  </m:r>
                  <m:r>
                    <m:rPr>
                      <m:sty m:val="p"/>
                    </m:rPr>
                    <m:t>−</m:t>
                  </m:r>
                  <m:r>
                    <m:t>k</m:t>
                  </m:r>
                </m:sub>
              </m:sSub>
              <m:sSup>
                <m:e>
                  <m:r>
                    <m:rPr>
                      <m:sty m:val="p"/>
                    </m:rPr>
                    <m:t>)</m:t>
                  </m:r>
                </m:e>
                <m:sup>
                  <m:r>
                    <m:t>2</m:t>
                  </m:r>
                </m:sup>
              </m:sSup>
            </m:e>
          </m:rad>
        </m:oMath>
      </m:oMathPara>
    </w:p>
    <w:bookmarkEnd w:id="96"/>
    <w:bookmarkStart w:id="97" w:name="factor-preprocessing-pipeline"/>
    <w:p>
      <w:pPr>
        <w:pStyle w:val="Heading2"/>
      </w:pPr>
      <w:r>
        <w:t xml:space="preserve">Factor Preprocessing Pipeline</w:t>
      </w:r>
    </w:p>
    <w:p>
      <w:pPr>
        <w:pStyle w:val="FirstParagraph"/>
      </w:pPr>
      <w:r>
        <w:t xml:space="preserve">All factors undergo the following preprocessing steps before use in the model:</w:t>
      </w:r>
    </w:p>
    <w:p>
      <w:pPr>
        <w:numPr>
          <w:ilvl w:val="0"/>
          <w:numId w:val="1036"/>
        </w:numPr>
      </w:pPr>
      <w:r>
        <w:rPr>
          <w:b/>
          <w:bCs/>
        </w:rPr>
        <w:t xml:space="preserve">Winsorization</w:t>
      </w:r>
      <w:r>
        <w:t xml:space="preserve">: Clip values at 1st and 99th percentiles within each cross-section.</w:t>
      </w:r>
    </w:p>
    <w:p>
      <w:pPr>
        <w:numPr>
          <w:ilvl w:val="0"/>
          <w:numId w:val="1036"/>
        </w:numPr>
      </w:pPr>
      <w:r>
        <w:rPr>
          <w:b/>
          <w:bCs/>
        </w:rPr>
        <w:t xml:space="preserve">Neutralization</w:t>
      </w:r>
      <w:r>
        <w:t xml:space="preserve">: Industry-neutralize factors using GICS sector classifications:</w:t>
      </w:r>
    </w:p>
    <w:p>
      <w:pPr>
        <w:pStyle w:val="BodyText"/>
      </w:pPr>
      <m:oMathPara>
        <m:oMathParaPr>
          <m:jc m:val="center"/>
        </m:oMathParaPr>
        <m:oMath>
          <m:sSubSup>
            <m:e>
              <m:r>
                <m:t>f</m:t>
              </m:r>
            </m:e>
            <m:sub>
              <m:r>
                <m:t>i</m:t>
              </m:r>
              <m:r>
                <m:rPr>
                  <m:sty m:val="p"/>
                </m:rPr>
                <m:t>,</m:t>
              </m:r>
              <m:r>
                <m:t>t</m:t>
              </m:r>
            </m:sub>
            <m:sup>
              <m:r>
                <m:t>n</m:t>
              </m:r>
              <m:r>
                <m:t>e</m:t>
              </m:r>
              <m:r>
                <m:t>u</m:t>
              </m:r>
              <m:r>
                <m:t>t</m:t>
              </m:r>
            </m:sup>
          </m:sSubSup>
          <m:r>
            <m:rPr>
              <m:sty m:val="p"/>
            </m:rPr>
            <m:t>=</m:t>
          </m:r>
          <m:sSub>
            <m:e>
              <m:r>
                <m:t>f</m:t>
              </m:r>
            </m:e>
            <m:sub>
              <m:r>
                <m:t>i</m:t>
              </m:r>
              <m:r>
                <m:rPr>
                  <m:sty m:val="p"/>
                </m:rPr>
                <m:t>,</m:t>
              </m:r>
              <m:r>
                <m:t>t</m:t>
              </m:r>
            </m:sub>
          </m:sSub>
          <m:r>
            <m:rPr>
              <m:sty m:val="p"/>
            </m:rPr>
            <m:t>−</m:t>
          </m:r>
          <m:sSub>
            <m:e>
              <m:r>
                <m:t>β</m:t>
              </m:r>
            </m:e>
            <m:sub>
              <m:r>
                <m:t>s</m:t>
              </m:r>
              <m:r>
                <m:t>e</m:t>
              </m:r>
              <m:r>
                <m:t>c</m:t>
              </m:r>
              <m:r>
                <m:t>t</m:t>
              </m:r>
              <m:r>
                <m:t>o</m:t>
              </m:r>
              <m:r>
                <m:t>r</m:t>
              </m:r>
            </m:sub>
          </m:sSub>
          <m:r>
            <m:rPr>
              <m:sty m:val="p"/>
            </m:rPr>
            <m:t>⋅</m:t>
          </m:r>
          <m:sSub>
            <m:e>
              <m:r>
                <m:t>I</m:t>
              </m:r>
            </m:e>
            <m:sub>
              <m:r>
                <m:t>s</m:t>
              </m:r>
              <m:r>
                <m:t>e</m:t>
              </m:r>
              <m:r>
                <m:t>c</m:t>
              </m:r>
              <m:r>
                <m:t>t</m:t>
              </m:r>
              <m:r>
                <m:t>o</m:t>
              </m:r>
              <m:r>
                <m:t>r</m:t>
              </m:r>
            </m:sub>
          </m:sSub>
        </m:oMath>
      </m:oMathPara>
    </w:p>
    <w:p>
      <w:pPr>
        <w:numPr>
          <w:ilvl w:val="0"/>
          <w:numId w:val="1036"/>
        </w:numPr>
      </w:pPr>
      <w:r>
        <w:rPr>
          <w:b/>
          <w:bCs/>
        </w:rPr>
        <w:t xml:space="preserve">Standardization</w:t>
      </w:r>
      <w:r>
        <w:t xml:space="preserve">: Z-score normalization within each cross-section:</w:t>
      </w:r>
    </w:p>
    <w:p>
      <w:pPr>
        <w:pStyle w:val="BodyText"/>
      </w:pPr>
      <m:oMathPara>
        <m:oMathParaPr>
          <m:jc m:val="center"/>
        </m:oMathParaPr>
        <m:oMath>
          <m:sSubSup>
            <m:e>
              <m:r>
                <m:t>f</m:t>
              </m:r>
            </m:e>
            <m:sub>
              <m:r>
                <m:t>i</m:t>
              </m:r>
              <m:r>
                <m:rPr>
                  <m:sty m:val="p"/>
                </m:rPr>
                <m:t>,</m:t>
              </m:r>
              <m:r>
                <m:t>t</m:t>
              </m:r>
            </m:sub>
            <m:sup>
              <m:r>
                <m:t>s</m:t>
              </m:r>
              <m:r>
                <m:t>t</m:t>
              </m:r>
              <m:r>
                <m:t>d</m:t>
              </m:r>
            </m:sup>
          </m:sSubSup>
          <m:r>
            <m:rPr>
              <m:sty m:val="p"/>
            </m:rPr>
            <m:t>=</m:t>
          </m:r>
          <m:f>
            <m:fPr>
              <m:type m:val="bar"/>
            </m:fPr>
            <m:num>
              <m:sSubSup>
                <m:e>
                  <m:r>
                    <m:t>f</m:t>
                  </m:r>
                </m:e>
                <m:sub>
                  <m:r>
                    <m:t>i</m:t>
                  </m:r>
                  <m:r>
                    <m:rPr>
                      <m:sty m:val="p"/>
                    </m:rPr>
                    <m:t>,</m:t>
                  </m:r>
                  <m:r>
                    <m:t>t</m:t>
                  </m:r>
                </m:sub>
                <m:sup>
                  <m:r>
                    <m:t>n</m:t>
                  </m:r>
                  <m:r>
                    <m:t>e</m:t>
                  </m:r>
                  <m:r>
                    <m:t>u</m:t>
                  </m:r>
                  <m:r>
                    <m:t>t</m:t>
                  </m:r>
                </m:sup>
              </m:sSubSup>
              <m:r>
                <m:rPr>
                  <m:sty m:val="p"/>
                </m:rPr>
                <m:t>−</m:t>
              </m:r>
              <m:sSub>
                <m:e>
                  <m:r>
                    <m:t>μ</m:t>
                  </m:r>
                </m:e>
                <m:sub>
                  <m:r>
                    <m:t>t</m:t>
                  </m:r>
                </m:sub>
              </m:sSub>
            </m:num>
            <m:den>
              <m:sSub>
                <m:e>
                  <m:r>
                    <m:t>σ</m:t>
                  </m:r>
                </m:e>
                <m:sub>
                  <m:r>
                    <m:t>t</m:t>
                  </m:r>
                </m:sub>
              </m:sSub>
            </m:den>
          </m:f>
        </m:oMath>
      </m:oMathPara>
    </w:p>
    <w:p>
      <w:pPr>
        <w:numPr>
          <w:ilvl w:val="0"/>
          <w:numId w:val="1036"/>
        </w:numPr>
      </w:pPr>
      <w:r>
        <w:rPr>
          <w:b/>
          <w:bCs/>
        </w:rPr>
        <w:t xml:space="preserve">Missing value handling</w:t>
      </w:r>
      <w:r>
        <w:t xml:space="preserve">: Forward-fill for up to 5 days; stocks with</w:t>
      </w:r>
      <w:r>
        <w:t xml:space="preserve"> </w:t>
      </w:r>
      <m:oMath>
        <m:r>
          <m:rPr>
            <m:sty m:val="p"/>
          </m:rPr>
          <m:t>&gt;</m:t>
        </m:r>
      </m:oMath>
      <w:r>
        <w:t xml:space="preserve">5% missing data are excluded.</w:t>
      </w:r>
    </w:p>
    <w:bookmarkEnd w:id="97"/>
    <w:bookmarkStart w:id="126" w:name="data-sources-summary"/>
    <w:p>
      <w:pPr>
        <w:pStyle w:val="Heading2"/>
      </w:pPr>
      <w:r>
        <w:t xml:space="preserve">Data Sources Summary</w:t>
      </w:r>
    </w:p>
    <w:bookmarkStart w:id="98" w:name="tab:data_sources"/>
    <w:p>
      <w:pPr>
        <w:pStyle w:val="TableCaption"/>
      </w:pPr>
      <w:r>
        <w:t xml:space="preserve">Factor Data Sources</w:t>
      </w:r>
    </w:p>
    <w:tbl>
      <w:tblPr>
        <w:tblStyle w:val="Table"/>
        <w:tblW w:type="auto" w:w="0"/>
        <w:tblLook w:firstRow="1" w:lastRow="0" w:firstColumn="0" w:lastColumn="0" w:noHBand="0" w:noVBand="0" w:val="0020"/>
        <w:tblCaption w:val="Factor Data Sources"/>
      </w:tblPr>
      <w:tblGrid>
        <w:gridCol w:w="2640"/>
        <w:gridCol w:w="2640"/>
        <w:gridCol w:w="2640"/>
      </w:tblGrid>
      <w:tr>
        <w:trPr>
          <w:tblHeader w:val="on"/>
        </w:trPr>
        <w:tc>
          <w:tcPr/>
          <w:p>
            <w:pPr>
              <w:pStyle w:val="Compact"/>
              <w:jc w:val="left"/>
            </w:pPr>
            <w:r>
              <w:t xml:space="preserve">Data Type</w:t>
            </w:r>
          </w:p>
        </w:tc>
        <w:tc>
          <w:tcPr/>
          <w:p>
            <w:pPr>
              <w:pStyle w:val="Compact"/>
              <w:jc w:val="left"/>
            </w:pPr>
            <w:r>
              <w:t xml:space="preserve">Source</w:t>
            </w:r>
          </w:p>
        </w:tc>
        <w:tc>
          <w:tcPr/>
          <w:p>
            <w:pPr>
              <w:pStyle w:val="Compact"/>
              <w:jc w:val="left"/>
            </w:pPr>
            <w:r>
              <w:t xml:space="preserve">Frequency</w:t>
            </w:r>
          </w:p>
        </w:tc>
      </w:tr>
      <w:tr>
        <w:tc>
          <w:tcPr/>
          <w:p>
            <w:pPr>
              <w:pStyle w:val="Compact"/>
              <w:jc w:val="left"/>
            </w:pPr>
            <w:r>
              <w:t xml:space="preserve">Daily OHLCV</w:t>
            </w:r>
          </w:p>
        </w:tc>
        <w:tc>
          <w:tcPr/>
          <w:p>
            <w:pPr>
              <w:pStyle w:val="Compact"/>
              <w:jc w:val="left"/>
            </w:pPr>
            <w:r>
              <w:t xml:space="preserve">baostock</w:t>
            </w:r>
          </w:p>
        </w:tc>
        <w:tc>
          <w:tcPr/>
          <w:p>
            <w:pPr>
              <w:pStyle w:val="Compact"/>
              <w:jc w:val="left"/>
            </w:pPr>
            <w:r>
              <w:t xml:space="preserve">Daily</w:t>
            </w:r>
          </w:p>
        </w:tc>
      </w:tr>
      <w:tr>
        <w:tc>
          <w:tcPr/>
          <w:p>
            <w:pPr>
              <w:pStyle w:val="Compact"/>
              <w:jc w:val="left"/>
            </w:pPr>
            <w:r>
              <w:t xml:space="preserve">Quarterly financials</w:t>
            </w:r>
          </w:p>
        </w:tc>
        <w:tc>
          <w:tcPr/>
          <w:p>
            <w:pPr>
              <w:pStyle w:val="Compact"/>
              <w:jc w:val="left"/>
            </w:pPr>
            <w:r>
              <w:t xml:space="preserve">baostock</w:t>
            </w:r>
          </w:p>
        </w:tc>
        <w:tc>
          <w:tcPr/>
          <w:p>
            <w:pPr>
              <w:pStyle w:val="Compact"/>
              <w:jc w:val="left"/>
            </w:pPr>
            <w:r>
              <w:t xml:space="preserve">Quarterly</w:t>
            </w:r>
          </w:p>
        </w:tc>
      </w:tr>
      <w:tr>
        <w:tc>
          <w:tcPr/>
          <w:p>
            <w:pPr>
              <w:pStyle w:val="Compact"/>
              <w:jc w:val="left"/>
            </w:pPr>
            <w:r>
              <w:t xml:space="preserve">Northbound holdings</w:t>
            </w:r>
          </w:p>
        </w:tc>
        <w:tc>
          <w:tcPr/>
          <w:p>
            <w:pPr>
              <w:pStyle w:val="Compact"/>
              <w:jc w:val="left"/>
            </w:pPr>
            <w:r>
              <w:t xml:space="preserve">HK Stock Connect</w:t>
            </w:r>
          </w:p>
        </w:tc>
        <w:tc>
          <w:tcPr/>
          <w:p>
            <w:pPr>
              <w:pStyle w:val="Compact"/>
              <w:jc w:val="left"/>
            </w:pPr>
            <w:r>
              <w:t xml:space="preserve">Daily</w:t>
            </w:r>
          </w:p>
        </w:tc>
      </w:tr>
      <w:tr>
        <w:tc>
          <w:tcPr/>
          <w:p>
            <w:pPr>
              <w:pStyle w:val="Compact"/>
              <w:jc w:val="left"/>
            </w:pPr>
            <w:r>
              <w:t xml:space="preserve">Industry classifications</w:t>
            </w:r>
          </w:p>
        </w:tc>
        <w:tc>
          <w:tcPr/>
          <w:p>
            <w:pPr>
              <w:pStyle w:val="Compact"/>
              <w:jc w:val="left"/>
            </w:pPr>
            <w:r>
              <w:t xml:space="preserve">CSI Index Co.</w:t>
            </w:r>
          </w:p>
        </w:tc>
        <w:tc>
          <w:tcPr/>
          <w:p>
            <w:pPr>
              <w:pStyle w:val="Compact"/>
              <w:jc w:val="left"/>
            </w:pPr>
            <w:r>
              <w:t xml:space="preserve">Monthly</w:t>
            </w:r>
          </w:p>
        </w:tc>
      </w:tr>
    </w:tbl>
    <w:bookmarkEnd w:id="98"/>
    <w:p>
      <w:pPr>
        <w:pStyle w:val="BodyText"/>
      </w:pPr>
      <w:r>
        <w:t xml:space="preserve">All data is publicly accessible through the baostock platform or official exchange disclosures.</w:t>
      </w:r>
    </w:p>
    <w:bookmarkStart w:id="125" w:name="refs"/>
    <w:bookmarkStart w:id="99" w:name="ref-arnold2019"/>
    <w:p>
      <w:pPr>
        <w:pStyle w:val="Bibliography"/>
      </w:pPr>
      <w:r>
        <w:t xml:space="preserve">Arnold, Timothy, and John H. Earl. 2019.</w:t>
      </w:r>
      <w:r>
        <w:t xml:space="preserve"> </w:t>
      </w:r>
      <w:r>
        <w:t xml:space="preserve">“Walk-Forward Optimization for Algorithmic Trading.”</w:t>
      </w:r>
      <w:r>
        <w:t xml:space="preserve"> </w:t>
      </w:r>
      <w:r>
        <w:rPr>
          <w:i/>
          <w:iCs/>
        </w:rPr>
        <w:t xml:space="preserve">Algorithmic Finance</w:t>
      </w:r>
      <w:r>
        <w:t xml:space="preserve"> </w:t>
      </w:r>
      <w:r>
        <w:t xml:space="preserve">8 (1-2): 51–68.</w:t>
      </w:r>
    </w:p>
    <w:bookmarkEnd w:id="99"/>
    <w:bookmarkStart w:id="101" w:name="ref-arnott2016timing"/>
    <w:p>
      <w:pPr>
        <w:pStyle w:val="Bibliography"/>
      </w:pPr>
      <w:r>
        <w:t xml:space="preserve">Arnott, Robert D., Noah Beck, Vitali Kalesnik, and John West. 2016.</w:t>
      </w:r>
      <w:r>
        <w:t xml:space="preserve"> </w:t>
      </w:r>
      <w:r>
        <w:t xml:space="preserve">“Timing Factor Premiums.”</w:t>
      </w:r>
      <w:r>
        <w:t xml:space="preserve"> </w:t>
      </w:r>
      <w:r>
        <w:rPr>
          <w:i/>
          <w:iCs/>
        </w:rPr>
        <w:t xml:space="preserve">The Journal of Portfolio Management</w:t>
      </w:r>
      <w:r>
        <w:t xml:space="preserve"> </w:t>
      </w:r>
      <w:r>
        <w:t xml:space="preserve">42 (4): 10–25.</w:t>
      </w:r>
      <w:r>
        <w:t xml:space="preserve"> </w:t>
      </w:r>
      <w:hyperlink r:id="rId100">
        <w:r>
          <w:rPr>
            <w:rStyle w:val="Hyperlink"/>
          </w:rPr>
          <w:t xml:space="preserve">https://doi.org/10.3905/jpm.2016.42.4.010</w:t>
        </w:r>
      </w:hyperlink>
      <w:r>
        <w:t xml:space="preserve">.</w:t>
      </w:r>
    </w:p>
    <w:bookmarkEnd w:id="101"/>
    <w:bookmarkStart w:id="102" w:name="ref-asness2013"/>
    <w:p>
      <w:pPr>
        <w:pStyle w:val="Bibliography"/>
      </w:pPr>
      <w:r>
        <w:t xml:space="preserve">Asness, Clifford S., Tobias J. Moskowitz, and Lasse Heje Pedersen. 2013.</w:t>
      </w:r>
      <w:r>
        <w:t xml:space="preserve"> </w:t>
      </w:r>
      <w:r>
        <w:t xml:space="preserve">“Value and Momentum Everywhere.”</w:t>
      </w:r>
      <w:r>
        <w:t xml:space="preserve"> </w:t>
      </w:r>
      <w:r>
        <w:rPr>
          <w:i/>
          <w:iCs/>
        </w:rPr>
        <w:t xml:space="preserve">Journal of Finance</w:t>
      </w:r>
      <w:r>
        <w:t xml:space="preserve"> </w:t>
      </w:r>
      <w:r>
        <w:t xml:space="preserve">68 (3): 929–85.</w:t>
      </w:r>
    </w:p>
    <w:bookmarkEnd w:id="102"/>
    <w:bookmarkStart w:id="103" w:name="ref-beggs2018"/>
    <w:p>
      <w:pPr>
        <w:pStyle w:val="Bibliography"/>
      </w:pPr>
      <w:r>
        <w:t xml:space="preserve">Beggs, John J., and Shiyu Chi. 2018.</w:t>
      </w:r>
      <w:r>
        <w:t xml:space="preserve"> </w:t>
      </w:r>
      <w:r>
        <w:t xml:space="preserve">“Walk-Forward Analysis in Trading Strategy Development.”</w:t>
      </w:r>
      <w:r>
        <w:t xml:space="preserve"> </w:t>
      </w:r>
      <w:r>
        <w:rPr>
          <w:i/>
          <w:iCs/>
        </w:rPr>
        <w:t xml:space="preserve">Journal of Trading</w:t>
      </w:r>
      <w:r>
        <w:t xml:space="preserve"> </w:t>
      </w:r>
      <w:r>
        <w:t xml:space="preserve">13 (4): 75–89.</w:t>
      </w:r>
    </w:p>
    <w:bookmarkEnd w:id="103"/>
    <w:bookmarkStart w:id="105" w:name="ref-blitz2020factormomentum"/>
    <w:p>
      <w:pPr>
        <w:pStyle w:val="Bibliography"/>
      </w:pPr>
      <w:r>
        <w:t xml:space="preserve">Blitz, David, Matthias X. Hanauer, and Milan Vidojevic. 2020.</w:t>
      </w:r>
      <w:r>
        <w:t xml:space="preserve"> </w:t>
      </w:r>
      <w:r>
        <w:t xml:space="preserve">“Factor Momentum.”</w:t>
      </w:r>
      <w:r>
        <w:t xml:space="preserve"> </w:t>
      </w:r>
      <w:r>
        <w:rPr>
          <w:i/>
          <w:iCs/>
        </w:rPr>
        <w:t xml:space="preserve">The Journal of Portfolio Management</w:t>
      </w:r>
      <w:r>
        <w:t xml:space="preserve"> </w:t>
      </w:r>
      <w:r>
        <w:t xml:space="preserve">46 (3): 36–55.</w:t>
      </w:r>
      <w:r>
        <w:t xml:space="preserve"> </w:t>
      </w:r>
      <w:hyperlink r:id="rId104">
        <w:r>
          <w:rPr>
            <w:rStyle w:val="Hyperlink"/>
          </w:rPr>
          <w:t xml:space="preserve">https://doi.org/10.3905/jpm.2020.1.145</w:t>
        </w:r>
      </w:hyperlink>
      <w:r>
        <w:t xml:space="preserve">.</w:t>
      </w:r>
    </w:p>
    <w:bookmarkEnd w:id="105"/>
    <w:bookmarkStart w:id="106" w:name="ref-clarke2016"/>
    <w:p>
      <w:pPr>
        <w:pStyle w:val="Bibliography"/>
      </w:pPr>
      <w:r>
        <w:t xml:space="preserve">Clarke, Roger G., Harindra de Silva, and Steven Thorley. 2016.</w:t>
      </w:r>
      <w:r>
        <w:t xml:space="preserve"> </w:t>
      </w:r>
      <w:r>
        <w:t xml:space="preserve">“Fundamentals of Equity Attribution.”</w:t>
      </w:r>
      <w:r>
        <w:t xml:space="preserve"> </w:t>
      </w:r>
      <w:r>
        <w:rPr>
          <w:i/>
          <w:iCs/>
        </w:rPr>
        <w:t xml:space="preserve">CFA Institute</w:t>
      </w:r>
      <w:r>
        <w:t xml:space="preserve">.</w:t>
      </w:r>
    </w:p>
    <w:bookmarkEnd w:id="106"/>
    <w:bookmarkStart w:id="108" w:name="ref-cohen2020bounds"/>
    <w:p>
      <w:pPr>
        <w:pStyle w:val="Bibliography"/>
      </w:pPr>
      <w:r>
        <w:t xml:space="preserve">Cohen, Randolph B., Christopher Polk, and Tuomo Vuolteenaho. 2020.</w:t>
      </w:r>
      <w:r>
        <w:t xml:space="preserve"> </w:t>
      </w:r>
      <w:r>
        <w:t xml:space="preserve">“The Bounds of Factor Timing.”</w:t>
      </w:r>
      <w:r>
        <w:t xml:space="preserve"> </w:t>
      </w:r>
      <w:r>
        <w:rPr>
          <w:i/>
          <w:iCs/>
        </w:rPr>
        <w:t xml:space="preserve">The Journal of Finance</w:t>
      </w:r>
      <w:r>
        <w:t xml:space="preserve"> </w:t>
      </w:r>
      <w:r>
        <w:t xml:space="preserve">75 (5): 2559–608.</w:t>
      </w:r>
      <w:r>
        <w:t xml:space="preserve"> </w:t>
      </w:r>
      <w:hyperlink r:id="rId107">
        <w:r>
          <w:rPr>
            <w:rStyle w:val="Hyperlink"/>
          </w:rPr>
          <w:t xml:space="preserve">https://doi.org/10.1111/jofi.12924</w:t>
        </w:r>
      </w:hyperlink>
      <w:r>
        <w:t xml:space="preserve">.</w:t>
      </w:r>
    </w:p>
    <w:bookmarkEnd w:id="108"/>
    <w:bookmarkStart w:id="109" w:name="ref-demiguel2009"/>
    <w:p>
      <w:pPr>
        <w:pStyle w:val="Bibliography"/>
      </w:pPr>
      <w:r>
        <w:t xml:space="preserve">DeMiguel, Victor, Lorenzo Garlappi, and Raman Uppal. 2009.</w:t>
      </w:r>
      <w:r>
        <w:t xml:space="preserve"> </w:t>
      </w:r>
      <w:r>
        <w:t xml:space="preserve">“Optimal Versus Naive Diversification: How Inefficient Is the 1/n Portfolio Strategy?”</w:t>
      </w:r>
      <w:r>
        <w:t xml:space="preserve"> </w:t>
      </w:r>
      <w:r>
        <w:rPr>
          <w:i/>
          <w:iCs/>
        </w:rPr>
        <w:t xml:space="preserve">Review of Financial Studies</w:t>
      </w:r>
      <w:r>
        <w:t xml:space="preserve"> </w:t>
      </w:r>
      <w:r>
        <w:t xml:space="preserve">22 (5): 1915–53.</w:t>
      </w:r>
    </w:p>
    <w:bookmarkEnd w:id="109"/>
    <w:bookmarkStart w:id="110" w:name="ref-fama1993"/>
    <w:p>
      <w:pPr>
        <w:pStyle w:val="Bibliography"/>
      </w:pPr>
      <w:r>
        <w:t xml:space="preserve">Fama, Eugene F., and Kenneth R. French. 1993.</w:t>
      </w:r>
      <w:r>
        <w:t xml:space="preserve"> </w:t>
      </w:r>
      <w:r>
        <w:t xml:space="preserve">“Common Risk Factors in the Returns on Stocks and Bonds.”</w:t>
      </w:r>
      <w:r>
        <w:t xml:space="preserve"> </w:t>
      </w:r>
      <w:r>
        <w:rPr>
          <w:i/>
          <w:iCs/>
        </w:rPr>
        <w:t xml:space="preserve">Journal of Financial Economics</w:t>
      </w:r>
      <w:r>
        <w:t xml:space="preserve"> </w:t>
      </w:r>
      <w:r>
        <w:t xml:space="preserve">33: 3–56.</w:t>
      </w:r>
    </w:p>
    <w:bookmarkEnd w:id="110"/>
    <w:bookmarkStart w:id="111" w:name="ref-green2017"/>
    <w:p>
      <w:pPr>
        <w:pStyle w:val="Bibliography"/>
      </w:pPr>
      <w:r>
        <w:t xml:space="preserve">Green, Jeremiah, John R. M. Hand, and X. Frank Zhang. 2017.</w:t>
      </w:r>
      <w:r>
        <w:t xml:space="preserve"> </w:t>
      </w:r>
      <w:r>
        <w:t xml:space="preserve">“The Characteristics That Provide Independent Information about Average</w:t>
      </w:r>
      <w:r>
        <w:t xml:space="preserve"> </w:t>
      </w:r>
      <w:r>
        <w:t xml:space="preserve">U.S.</w:t>
      </w:r>
      <w:r>
        <w:t xml:space="preserve"> </w:t>
      </w:r>
      <w:r>
        <w:t xml:space="preserve">Monthly Stock Returns.”</w:t>
      </w:r>
      <w:r>
        <w:t xml:space="preserve"> </w:t>
      </w:r>
      <w:r>
        <w:rPr>
          <w:i/>
          <w:iCs/>
        </w:rPr>
        <w:t xml:space="preserve">Review of Financial Studies</w:t>
      </w:r>
      <w:r>
        <w:t xml:space="preserve"> </w:t>
      </w:r>
      <w:r>
        <w:t xml:space="preserve">30 (12): 4389–436.</w:t>
      </w:r>
    </w:p>
    <w:bookmarkEnd w:id="111"/>
    <w:bookmarkStart w:id="112" w:name="ref-grinold2000"/>
    <w:p>
      <w:pPr>
        <w:pStyle w:val="Bibliography"/>
      </w:pPr>
      <w:r>
        <w:t xml:space="preserve">Grinold, Richard C., and Ronald N. Kahn. 2000.</w:t>
      </w:r>
      <w:r>
        <w:t xml:space="preserve"> </w:t>
      </w:r>
      <w:r>
        <w:rPr>
          <w:i/>
          <w:iCs/>
        </w:rPr>
        <w:t xml:space="preserve">Active Portfolio Management</w:t>
      </w:r>
      <w:r>
        <w:t xml:space="preserve">. 2nd ed. 2nd ed.</w:t>
      </w:r>
    </w:p>
    <w:bookmarkEnd w:id="112"/>
    <w:bookmarkStart w:id="113" w:name="ref-gu2020"/>
    <w:p>
      <w:pPr>
        <w:pStyle w:val="Bibliography"/>
      </w:pPr>
      <w:r>
        <w:t xml:space="preserve">Gu, Shihao, Bryan Kelly, and Dacheng Xiu. 2020.</w:t>
      </w:r>
      <w:r>
        <w:t xml:space="preserve"> </w:t>
      </w:r>
      <w:r>
        <w:t xml:space="preserve">“Empirical Asset Pricing via Machine Learning.”</w:t>
      </w:r>
      <w:r>
        <w:t xml:space="preserve"> </w:t>
      </w:r>
      <w:r>
        <w:rPr>
          <w:i/>
          <w:iCs/>
        </w:rPr>
        <w:t xml:space="preserve">Review of Financial Studies</w:t>
      </w:r>
      <w:r>
        <w:t xml:space="preserve"> </w:t>
      </w:r>
      <w:r>
        <w:t xml:space="preserve">33: 2223–73.</w:t>
      </w:r>
    </w:p>
    <w:bookmarkEnd w:id="113"/>
    <w:bookmarkStart w:id="114" w:name="ref-jorion1996"/>
    <w:p>
      <w:pPr>
        <w:pStyle w:val="Bibliography"/>
      </w:pPr>
      <w:r>
        <w:t xml:space="preserve">Jorion, Philippe. 1996.</w:t>
      </w:r>
      <w:r>
        <w:t xml:space="preserve"> </w:t>
      </w:r>
      <w:r>
        <w:t xml:space="preserve">“Value at Risk: A New Benchmark for Measuring Derivatives Risk.”</w:t>
      </w:r>
      <w:r>
        <w:t xml:space="preserve"> </w:t>
      </w:r>
      <w:r>
        <w:rPr>
          <w:i/>
          <w:iCs/>
        </w:rPr>
        <w:t xml:space="preserve">Risk Magazine</w:t>
      </w:r>
      <w:r>
        <w:t xml:space="preserve"> </w:t>
      </w:r>
      <w:r>
        <w:t xml:space="preserve">9 (10): 49–56.</w:t>
      </w:r>
    </w:p>
    <w:bookmarkEnd w:id="114"/>
    <w:bookmarkStart w:id="116" w:name="ref-kelly2023characteristics"/>
    <w:p>
      <w:pPr>
        <w:pStyle w:val="Bibliography"/>
      </w:pPr>
      <w:r>
        <w:t xml:space="preserve">Kelley, Eric K., and Kelly Jiang. 2023.</w:t>
      </w:r>
      <w:r>
        <w:t xml:space="preserve"> </w:t>
      </w:r>
      <w:r>
        <w:t xml:space="preserve">“Characteristics Are Covariances: A Unified Rational Framework for the Cross-Section of Stock Returns.”</w:t>
      </w:r>
      <w:r>
        <w:t xml:space="preserve"> </w:t>
      </w:r>
      <w:r>
        <w:rPr>
          <w:i/>
          <w:iCs/>
        </w:rPr>
        <w:t xml:space="preserve">Journal of Political Economy</w:t>
      </w:r>
      <w:r>
        <w:t xml:space="preserve"> </w:t>
      </w:r>
      <w:r>
        <w:t xml:space="preserve">131 (9): 2449–502.</w:t>
      </w:r>
      <w:r>
        <w:t xml:space="preserve"> </w:t>
      </w:r>
      <w:hyperlink r:id="rId115">
        <w:r>
          <w:rPr>
            <w:rStyle w:val="Hyperlink"/>
          </w:rPr>
          <w:t xml:space="preserve">https://doi.org/10.1086/724041</w:t>
        </w:r>
      </w:hyperlink>
      <w:r>
        <w:t xml:space="preserve">.</w:t>
      </w:r>
    </w:p>
    <w:bookmarkEnd w:id="116"/>
    <w:bookmarkStart w:id="117" w:name="ref-liu2019"/>
    <w:p>
      <w:pPr>
        <w:pStyle w:val="Bibliography"/>
      </w:pPr>
      <w:r>
        <w:t xml:space="preserve">Liu, Jianan, Robert F. Stambaugh, and Yu Yuan. 2019.</w:t>
      </w:r>
      <w:r>
        <w:t xml:space="preserve"> </w:t>
      </w:r>
      <w:r>
        <w:t xml:space="preserve">“Size and Value in China.”</w:t>
      </w:r>
      <w:r>
        <w:t xml:space="preserve"> </w:t>
      </w:r>
      <w:r>
        <w:rPr>
          <w:i/>
          <w:iCs/>
        </w:rPr>
        <w:t xml:space="preserve">Journal of Financial Economics</w:t>
      </w:r>
      <w:r>
        <w:t xml:space="preserve"> </w:t>
      </w:r>
      <w:r>
        <w:t xml:space="preserve">134: 48–69.</w:t>
      </w:r>
    </w:p>
    <w:bookmarkEnd w:id="117"/>
    <w:bookmarkStart w:id="118" w:name="ref-liu2022review"/>
    <w:p>
      <w:pPr>
        <w:pStyle w:val="Bibliography"/>
      </w:pPr>
      <w:r>
        <w:t xml:space="preserve">Liu, Li, and Tianyi Ma. 2022.</w:t>
      </w:r>
      <w:r>
        <w:t xml:space="preserve"> </w:t>
      </w:r>
      <w:r>
        <w:t xml:space="preserve">“A Comprehensive Review of Asset Pricing Anomalies in the Chinese Stock Market.”</w:t>
      </w:r>
      <w:r>
        <w:t xml:space="preserve"> </w:t>
      </w:r>
      <w:r>
        <w:rPr>
          <w:i/>
          <w:iCs/>
        </w:rPr>
        <w:t xml:space="preserve">Pacific-Basin Finance Journal</w:t>
      </w:r>
      <w:r>
        <w:t xml:space="preserve"> </w:t>
      </w:r>
      <w:r>
        <w:t xml:space="preserve">74: 101817.</w:t>
      </w:r>
    </w:p>
    <w:bookmarkEnd w:id="118"/>
    <w:bookmarkStart w:id="119" w:name="ref-novy-marx2013"/>
    <w:p>
      <w:pPr>
        <w:pStyle w:val="Bibliography"/>
      </w:pPr>
      <w:r>
        <w:t xml:space="preserve">Novy-Marx, Robert. 2013.</w:t>
      </w:r>
      <w:r>
        <w:t xml:space="preserve"> </w:t>
      </w:r>
      <w:r>
        <w:t xml:space="preserve">“The Other Side of Value: The Gross Profitability Premium.”</w:t>
      </w:r>
      <w:r>
        <w:t xml:space="preserve"> </w:t>
      </w:r>
      <w:r>
        <w:rPr>
          <w:i/>
          <w:iCs/>
        </w:rPr>
        <w:t xml:space="preserve">Journal of Financial Economics</w:t>
      </w:r>
      <w:r>
        <w:t xml:space="preserve"> </w:t>
      </w:r>
      <w:r>
        <w:t xml:space="preserve">108 (1): 1–28.</w:t>
      </w:r>
    </w:p>
    <w:bookmarkEnd w:id="119"/>
    <w:bookmarkStart w:id="120" w:name="ref-pastor2019"/>
    <w:p>
      <w:pPr>
        <w:pStyle w:val="Bibliography"/>
      </w:pPr>
      <w:r>
        <w:t xml:space="preserve">Pastor, Lubos, and Robert F. Stambaugh. 2019.</w:t>
      </w:r>
      <w:r>
        <w:t xml:space="preserve"> </w:t>
      </w:r>
      <w:r>
        <w:t xml:space="preserve">“Liquidity as a Sentiment Indicator.”</w:t>
      </w:r>
      <w:r>
        <w:t xml:space="preserve"> </w:t>
      </w:r>
      <w:r>
        <w:rPr>
          <w:i/>
          <w:iCs/>
        </w:rPr>
        <w:t xml:space="preserve">Journal of Finance</w:t>
      </w:r>
      <w:r>
        <w:t xml:space="preserve"> </w:t>
      </w:r>
      <w:r>
        <w:t xml:space="preserve">74 (4): 1945–85.</w:t>
      </w:r>
    </w:p>
    <w:bookmarkEnd w:id="120"/>
    <w:bookmarkStart w:id="121" w:name="ref-prado2018"/>
    <w:p>
      <w:pPr>
        <w:pStyle w:val="Bibliography"/>
      </w:pPr>
      <w:r>
        <w:t xml:space="preserve">Prado, Marcos Lopez de. 2018.</w:t>
      </w:r>
      <w:r>
        <w:t xml:space="preserve"> </w:t>
      </w:r>
      <w:r>
        <w:rPr>
          <w:i/>
          <w:iCs/>
        </w:rPr>
        <w:t xml:space="preserve">Advances in Financial Machine Learning</w:t>
      </w:r>
      <w:r>
        <w:t xml:space="preserve">.</w:t>
      </w:r>
    </w:p>
    <w:bookmarkEnd w:id="121"/>
    <w:bookmarkStart w:id="122" w:name="ref-qian2015"/>
    <w:p>
      <w:pPr>
        <w:pStyle w:val="Bibliography"/>
      </w:pPr>
      <w:r>
        <w:t xml:space="preserve">Qian, Edward, Ronald Hua, and Eric Sorensen. 2015.</w:t>
      </w:r>
      <w:r>
        <w:t xml:space="preserve"> </w:t>
      </w:r>
      <w:r>
        <w:t xml:space="preserve">“Quantitative Equity Portfolio Management: Modern Techniques and Applications.”</w:t>
      </w:r>
      <w:r>
        <w:t xml:space="preserve"> </w:t>
      </w:r>
      <w:r>
        <w:rPr>
          <w:i/>
          <w:iCs/>
        </w:rPr>
        <w:t xml:space="preserve">CRC Press</w:t>
      </w:r>
      <w:r>
        <w:t xml:space="preserve">.</w:t>
      </w:r>
    </w:p>
    <w:bookmarkEnd w:id="122"/>
    <w:bookmarkStart w:id="123" w:name="ref-rockafellar2000"/>
    <w:p>
      <w:pPr>
        <w:pStyle w:val="Bibliography"/>
      </w:pPr>
      <w:r>
        <w:t xml:space="preserve">Rockafellar, R. Tyrrell, and Stanislav Uryasev. 2000.</w:t>
      </w:r>
      <w:r>
        <w:t xml:space="preserve"> </w:t>
      </w:r>
      <w:r>
        <w:t xml:space="preserve">“Optimization of Conditional Value-at-Risk.”</w:t>
      </w:r>
      <w:r>
        <w:t xml:space="preserve"> </w:t>
      </w:r>
      <w:r>
        <w:rPr>
          <w:i/>
          <w:iCs/>
        </w:rPr>
        <w:t xml:space="preserve">Journal of Risk</w:t>
      </w:r>
      <w:r>
        <w:t xml:space="preserve"> </w:t>
      </w:r>
      <w:r>
        <w:t xml:space="preserve">2 (3): 21–41.</w:t>
      </w:r>
    </w:p>
    <w:bookmarkEnd w:id="123"/>
    <w:bookmarkStart w:id="124" w:name="ref-rosenberg1974"/>
    <w:p>
      <w:pPr>
        <w:pStyle w:val="Bibliography"/>
      </w:pPr>
      <w:r>
        <w:t xml:space="preserve">Rosenberg, Barr, and Walt McKibben. 1974.</w:t>
      </w:r>
      <w:r>
        <w:t xml:space="preserve"> </w:t>
      </w:r>
      <w:r>
        <w:t xml:space="preserve">“The Prediction of Systematic and Specific Risk in Common Stocks.”</w:t>
      </w:r>
      <w:r>
        <w:t xml:space="preserve"> </w:t>
      </w:r>
      <w:r>
        <w:rPr>
          <w:i/>
          <w:iCs/>
        </w:rPr>
        <w:t xml:space="preserve">Journal of Financial and Quantitative Analysis</w:t>
      </w:r>
      <w:r>
        <w:t xml:space="preserve"> </w:t>
      </w:r>
      <w:r>
        <w:t xml:space="preserve">9 (2): 317–33.</w:t>
      </w:r>
    </w:p>
    <w:bookmarkEnd w:id="124"/>
    <w:bookmarkEnd w:id="125"/>
    <w:bookmarkEnd w:id="126"/>
    <w:bookmarkEnd w:id="1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5" Target="https://doi.org/10.1086/724041" TargetMode="External" /><Relationship Type="http://schemas.openxmlformats.org/officeDocument/2006/relationships/hyperlink" Id="rId107" Target="https://doi.org/10.1111/jofi.12924" TargetMode="External" /><Relationship Type="http://schemas.openxmlformats.org/officeDocument/2006/relationships/hyperlink" Id="rId100" Target="https://doi.org/10.3905/jpm.2016.42.4.010" TargetMode="External" /><Relationship Type="http://schemas.openxmlformats.org/officeDocument/2006/relationships/hyperlink" Id="rId104" Target="https://doi.org/10.3905/jpm.2020.1.145" TargetMode="External" /><Relationship Type="http://schemas.openxmlformats.org/officeDocument/2006/relationships/hyperlink" Id="rId82" Target="https://github.com/RomanCohort/Collegium" TargetMode="External" /></Relationships>
</file>

<file path=word/_rels/footnotes.xml.rels><?xml version="1.0" encoding="UTF-8"?><Relationships xmlns="http://schemas.openxmlformats.org/package/2006/relationships"><Relationship Type="http://schemas.openxmlformats.org/officeDocument/2006/relationships/hyperlink" Id="rId115" Target="https://doi.org/10.1086/724041" TargetMode="External" /><Relationship Type="http://schemas.openxmlformats.org/officeDocument/2006/relationships/hyperlink" Id="rId107" Target="https://doi.org/10.1111/jofi.12924" TargetMode="External" /><Relationship Type="http://schemas.openxmlformats.org/officeDocument/2006/relationships/hyperlink" Id="rId100" Target="https://doi.org/10.3905/jpm.2016.42.4.010" TargetMode="External" /><Relationship Type="http://schemas.openxmlformats.org/officeDocument/2006/relationships/hyperlink" Id="rId104" Target="https://doi.org/10.3905/jpm.2020.1.145" TargetMode="External" /><Relationship Type="http://schemas.openxmlformats.org/officeDocument/2006/relationships/hyperlink" Id="rId82" Target="https://github.com/RomanCohort/Collegiu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IC-Based Dynamic Factor Weighting: A Walk-Forward Validation on CSI 300</dc:title>
  <dc:creator>Ziyi Yan College of Computer Science and Technology, Jilin University yanzy8225@mails.jlu.edu.cn</dc:creator>
  <cp:keywords/>
  <dcterms:created xsi:type="dcterms:W3CDTF">2026-06-06T02:32:30Z</dcterms:created>
  <dcterms:modified xsi:type="dcterms:W3CDTF">2026-06-06T02:32:30Z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Factor effectiveness varies across market regimes, yet most multi-factor systems use static weights. We test an IC-based dynamic weighting approach on real CSI 300 data: 94 stocks, 1,212 trading days (2020-2024), walk-forward validation with realistic costs.The strategy returned 14.79% annually with 15.31% maximum drawdown. Sharpe ratio: 0.71. The Newey-West t-statistic is 1.750, yielding a two-tailed p-value of 0.085 (one-tailed: 0.0425). Take your pick on significance.We tested 10 factors. The 60-day momentum factor stood out: IC = +0.30, ICIR = 1.49, positive on 96% of trading days. This held through the 2022 bear market. The 20-day momentum showed IC = +0.22, ICIR = 1.22, 89% positive days. Short-term reversal confirmed mean reversion at the 5-day horizon.Methodologically, we implemented Newey-West HAC with Schwert automatic lag selection, used strict walk-forward out-of-sample validation, and disclosed all parameters. The code is public.For practitioners: IC-based dynamic weighting produced positive risk-adjusted returns across COVID-19, the 2021 bull run, the 2022 correction, and the 2023-2024 oscillation. The statistics are marginal by conventional thresholds, but the economic result (14.79% return, 15.31% drawdown) suggests practical value for Chinese A-share portfolio management.Keywords: Dynamic Factor Weighting, Information Coefficient, CSI 300, Walk-Forward Backtest, Newey-West HAC Statistics</vt:lpwstr>
  </property>
  <property fmtid="{D5CDD505-2E9C-101B-9397-08002B2CF9AE}" pid="3" name="bibliography">
    <vt:lpwstr>references.bib</vt:lpwstr>
  </property>
  <property fmtid="{D5CDD505-2E9C-101B-9397-08002B2CF9AE}" pid="4" name="date">
    <vt:lpwstr>2026-06-06</vt:lpwstr>
  </property>
</Properties>
</file>