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19.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Confluencia 3.0: Integrated circRNA Vaccine Design with TNBC Subtype Simulation</w:t>
      </w:r>
    </w:p>
    <w:p>
      <w:pPr>
        <w:pStyle w:val="Author"/>
      </w:pPr>
      <w:r>
        <w:t xml:space="preserve">iGEM FBH Team</w:t>
      </w:r>
      <w:r>
        <w:br/>
      </w:r>
      <w:r>
        <w:rPr>
          <w:i/>
          <w:iCs/>
        </w:rPr>
        <w:t xml:space="preserve">iGEM 2026, First Build High School</w:t>
      </w:r>
    </w:p>
    <w:p>
      <w:pPr>
        <w:pStyle w:val="Date"/>
      </w:pPr>
      <w:r>
        <w:t xml:space="preserve">2026-06-27</w:t>
      </w:r>
    </w:p>
    <w:p>
      <w:pPr>
        <w:pStyle w:val="AbstractTitle"/>
      </w:pPr>
      <w:r>
        <w:t xml:space="preserve">Abstract</w:t>
      </w:r>
    </w:p>
    <w:p>
      <w:pPr>
        <w:pStyle w:val="Abstract"/>
      </w:pPr>
      <w:r>
        <w:t xml:space="preserve">Confluencia 3.0 presents a unified computational platform integrating circRNA vaccine design with TNBC molecular subtype simulation through an EventBus-first architecture coupling six subsystems (Tumor, TME, Treatment, CircRNA, Biomarker, Clinical) via 34+ event types. The platform addresses three fundamental gaps: (1) no existing platform links circRNA design to TNBC subtype-specific simulation, (2) circRNA-specific pharmacokinetic and immunogenicity features are absent in current tools, and (3) most computational biology tools require programming expertise, limiting accessibility for experimental researchers.</w:t>
      </w:r>
    </w:p>
    <w:p>
      <w:pPr>
        <w:pStyle w:val="Abstract"/>
      </w:pPr>
      <w:r>
        <w:t xml:space="preserve">As an extensible platform rather than a single-purpose tool, Confluencia 3.0 provides five interfaces (Python API, Streamlit web UI, CLI, R package, PyQt6 desktop IDE) targeting diverse user communities, lazy-loading backend integration (ESM2</w:t>
      </w:r>
      <w:r>
        <w:t xml:space="preserve"> </w:t>
      </w:r>
      <m:oMath>
        <m:r>
          <m:rPr>
            <m:sty m:val="p"/>
          </m:rPr>
          <m:t>→</m:t>
        </m:r>
      </m:oMath>
      <w:r>
        <w:t xml:space="preserve"> </w:t>
      </w:r>
      <w:r>
        <w:t xml:space="preserve">ViennaRNA</w:t>
      </w:r>
      <w:r>
        <w:t xml:space="preserve"> </w:t>
      </w:r>
      <m:oMath>
        <m:r>
          <m:rPr>
            <m:sty m:val="p"/>
          </m:rPr>
          <m:t>→</m:t>
        </m:r>
      </m:oMath>
      <w:r>
        <w:t xml:space="preserve"> </w:t>
      </w:r>
      <w:r>
        <w:t xml:space="preserve">heuristic) enabling offline-first operation, and federated model sharing via Confluencia Hub with ethics-gated uploads and dual-use screening. The EventBus architecture decouples modules through pub/sub communication, allowing new algorithms to replace existing implementations without modifying other subsystems, ensuring the platform remains current as methods evolve.</w:t>
      </w:r>
    </w:p>
    <w:p>
      <w:pPr>
        <w:pStyle w:val="Abstract"/>
      </w:pPr>
      <w:r>
        <w:t xml:space="preserve">Module implementations include: (1) TNBC Simulacrum with spatial TME simulation (nine immune cell populations, six cytokines, three spatial compartments, subclonal evolution), (2) CirculaPK six-compartment pharmacokinetics capturing circRNA-specific bottlenecks (1-4% endosomal escape), (3) circRNA-specific innate immune sensing via MDA5/dsRNA pathway with differential m6A suppression modeling, and (4) RL-ABM closed-loop sequence optimization. Preliminary benchmarks: immunogenicity scores correlate with Chen 2019 IFN-</w:t>
      </w:r>
      <m:oMath>
        <m:r>
          <m:t>β</m:t>
        </m:r>
      </m:oMath>
      <w:r>
        <w:t xml:space="preserve"> </w:t>
      </w:r>
      <w:r>
        <w:t xml:space="preserve">(Spearman r=0.91, N=7); PK matches Wesselhoeft 2018 half-lives (4.1% error, N=4); structure prediction backend achieves</w:t>
      </w:r>
      <w:r>
        <w:t xml:space="preserve"> </w:t>
      </w:r>
      <m:oMath>
        <m:r>
          <m:rPr>
            <m:sty m:val="p"/>
          </m:rPr>
          <m:t>∼</m:t>
        </m:r>
      </m:oMath>
      <w:r>
        <w:t xml:space="preserve">2Å RMSD with guaranteed BSJ closure via physics solver. Subtype comparison experiments show IM subtype responds 2.6x better than BLIS under identical chemotherapy (N=4 subtypes, 180 days). Three circRNA therapy mechanisms implemented (miRNA sponge, protein coding, immune stimulation) with event-driven treatment dispatch.</w:t>
      </w:r>
    </w:p>
    <w:p>
      <w:pPr>
        <w:pStyle w:val="Abstract"/>
      </w:pPr>
      <w:r>
        <w:t xml:space="preserve">Confluencia 3.0 is designed for longevity: algorithms become outdated, but the platform architecture persists. Wet-lab validation ongoing with collaborating medical school. Code: github.com/RomanCohort/confluencia (MIT). Federated model sharing via Confluencia Hub.</w:t>
      </w:r>
    </w:p>
    <w:p>
      <w:pPr>
        <w:pStyle w:val="FirstParagraph"/>
      </w:pPr>
      <w:r>
        <w:rPr>
          <w:b/>
          <w:bCs/>
        </w:rPr>
        <w:t xml:space="preserve">Keywords:</w:t>
      </w:r>
      <w:r>
        <w:t xml:space="preserve"> </w:t>
      </w:r>
      <w:r>
        <w:t xml:space="preserve">circRNA, TNBC, simulation, immunogenicity, pharmacokinetics, deep learning, structure prediction, federated learning, data sharing</w:t>
      </w:r>
    </w:p>
    <w:bookmarkStart w:id="11" w:name="introduction"/>
    <w:p>
      <w:pPr>
        <w:pStyle w:val="Heading1"/>
      </w:pPr>
      <w:r>
        <w:t xml:space="preserve">Introduction</w:t>
      </w:r>
    </w:p>
    <w:bookmarkStart w:id="9" w:name="the-circrna-vaccine-opportunity"/>
    <w:p>
      <w:pPr>
        <w:pStyle w:val="Heading2"/>
      </w:pPr>
      <w:r>
        <w:t xml:space="preserve">The circRNA Vaccine Opportunity</w:t>
      </w:r>
    </w:p>
    <w:p>
      <w:pPr>
        <w:pStyle w:val="FirstParagraph"/>
      </w:pPr>
      <w:r>
        <w:t xml:space="preserve">Circular RNA (circRNA) is more stable than linear mRNA for vaccine cargo, think of it as RNA that learned to hold its own ends together rather than fraying like a cheap rope. Wesselhoeft et al. (2018) demonstrated circRNA half-lives of 8-24 hours versus linear mRNA’s 2-4 hours, with sustained protein expression over multiple days. The back-splice junction (BSJ) covalently links the 3’ and 5’ ends, eliminating exonuclease degradation pathways that limit linear RNA. This stability advantage translates to reduced dosing frequency and potentially lower manufacturing costs for therapeutic applications.</w:t>
      </w:r>
    </w:p>
    <w:p>
      <w:pPr>
        <w:pStyle w:val="BodyText"/>
      </w:pPr>
      <w:r>
        <w:t xml:space="preserve">Triple-negative breast cancer (TNBC) presents a compelling vaccine target. Jiang et al. (2019) identified four molecular subtypes (BLIS, BLIA, IM, LAR) with distinct immune microenvironments. IM (Immunomodulatory) tumors exhibit high TIL density (0.50-0.70), PD-L1 expression (0.40-0.60), and checkpoint inhibitor responsiveness. BLIS (Basal-like Immune Suppressed) shows the worst prognosis with TIL &lt;0.15 and early immune escape. This subtype heterogeneity suggests that vaccine design should be subtype-adaptive rather than uniform.</w:t>
      </w:r>
    </w:p>
    <w:bookmarkEnd w:id="9"/>
    <w:bookmarkStart w:id="10" w:name="Xb5a4c7c6e7fde843be88274518d79c43d9230f2"/>
    <w:p>
      <w:pPr>
        <w:pStyle w:val="Heading2"/>
      </w:pPr>
      <w:r>
        <w:t xml:space="preserve">The Computational Gap and Our Scientific Innovations</w:t>
      </w:r>
    </w:p>
    <w:p>
      <w:pPr>
        <w:pStyle w:val="FirstParagraph"/>
      </w:pPr>
      <w:r>
        <w:rPr>
          <w:b/>
          <w:bCs/>
        </w:rPr>
        <w:t xml:space="preserve">Gap 1: circRNA pharmacokinetics differ fundamentally from linear mRNA.</w:t>
      </w:r>
      <w:r>
        <w:t xml:space="preserve"> </w:t>
      </w:r>
      <w:r>
        <w:t xml:space="preserve">LNP encapsulation creates tissue-specific biodistribution (liver 80%, spleen 10%), endosomal escape is a bottleneck at 1-4% efficiency (Gilleron et al., 2013), meaning over 96% of your expensive therapeutic never reaches its destination, and circRNA degradation follows exonuclease-resistant pathways.</w:t>
      </w:r>
      <w:r>
        <w:t xml:space="preserve"> </w:t>
      </w:r>
      <w:r>
        <w:rPr>
          <w:b/>
          <w:bCs/>
        </w:rPr>
        <w:t xml:space="preserve">Innovation 1</w:t>
      </w:r>
      <w:r>
        <w:t xml:space="preserve">: We introduce CirculaPK, the first six-compartment pharmacokinetic model explicitly capturing circRNA-specific bottlenecks (LNP encapsulation, endosomal escape, IRES-dependent translation), validated against Wesselhoeft 2018 half-life data with 4.1% error.</w:t>
      </w:r>
    </w:p>
    <w:p>
      <w:pPr>
        <w:pStyle w:val="BodyText"/>
      </w:pPr>
      <w:r>
        <w:rPr>
          <w:b/>
          <w:bCs/>
        </w:rPr>
        <w:t xml:space="preserve">Gap 2: circRNA innate immune sensing mechanisms are distinct from linear RNA.</w:t>
      </w:r>
      <w:r>
        <w:t xml:space="preserve"> </w:t>
      </w:r>
      <w:r>
        <w:t xml:space="preserve">circRNAs lack 5’ termini, so RIG-I 5’-ppp sensing does not apply (Hornung et al., 2006); instead, immunogenicity arises from dsRNA backbone structures sensed by MDA5 (Chen et al., 2019; Peisley and Hur, 2013) and modulated by intron identity.</w:t>
      </w:r>
      <w:r>
        <w:t xml:space="preserve"> </w:t>
      </w:r>
      <w:r>
        <w:rPr>
          <w:b/>
          <w:bCs/>
        </w:rPr>
        <w:t xml:space="preserve">Innovation 2</w:t>
      </w:r>
      <w:r>
        <w:t xml:space="preserve">: We implement pathway-resolved immunogenicity scoring (MDA5/dsRNA, TLR7, TLR8, PKR) with differential m6A suppression modeling (90%/30%/20% pathway-specific), correcting the oversimplified</w:t>
      </w:r>
      <w:r>
        <w:t xml:space="preserve"> </w:t>
      </w:r>
      <w:r>
        <w:t xml:space="preserve">“m6A reduces immunogenicity”</w:t>
      </w:r>
      <w:r>
        <w:t xml:space="preserve"> </w:t>
      </w:r>
      <w:r>
        <w:t xml:space="preserve">assumption and achieving statistically significant improvement over GC-only baseline (</w:t>
      </w:r>
      <m:oMath>
        <m:r>
          <m:rPr>
            <m:sty m:val="p"/>
          </m:rPr>
          <m:t>Δ</m:t>
        </m:r>
      </m:oMath>
      <w:r>
        <w:t xml:space="preserve">AIC = -8.2, p=0.004).</w:t>
      </w:r>
    </w:p>
    <w:p>
      <w:pPr>
        <w:pStyle w:val="BodyText"/>
      </w:pPr>
      <w:r>
        <w:rPr>
          <w:b/>
          <w:bCs/>
        </w:rPr>
        <w:t xml:space="preserve">Gap 3: No platform links circRNA design to tumor subtype-specific simulation.</w:t>
      </w:r>
      <w:r>
        <w:t xml:space="preserve"> </w:t>
      </w:r>
      <w:r>
        <w:t xml:space="preserve">Current tools address components independently: ViennaRNA predicts secondary structure, PK-Sim models pharmacokinetics, PhysiCell simulates tumor dynamics. Integration is manual, and circRNA-specific features are not captured.</w:t>
      </w:r>
      <w:r>
        <w:t xml:space="preserve"> </w:t>
      </w:r>
      <w:r>
        <w:rPr>
          <w:b/>
          <w:bCs/>
        </w:rPr>
        <w:t xml:space="preserve">Innovation 3</w:t>
      </w:r>
      <w:r>
        <w:t xml:space="preserve">: Confluencia 3.0 couples TNBC subtype simulation (4 subtypes, spatial TME, 9 immune populations, subclonal evolution) with circRNA design via EventBus architecture, enabling subtype-adaptive vaccine optimization. Preliminary results: IM subtype responds 2.6x better than BLIS under identical treatment (N=4 subtypes, p&lt;0.01).</w:t>
      </w:r>
    </w:p>
    <w:p>
      <w:pPr>
        <w:pStyle w:val="BodyText"/>
      </w:pPr>
      <w:r>
        <w:rPr>
          <w:b/>
          <w:bCs/>
        </w:rPr>
        <w:t xml:space="preserve">Gap 4: Computational tools lack extensibility and accessibility.</w:t>
      </w:r>
      <w:r>
        <w:t xml:space="preserve"> </w:t>
      </w:r>
      <w:r>
        <w:t xml:space="preserve">Single-purpose tools implementing specific algorithms risk obsolescence when methods are superseded. Most tools require programming expertise, limiting adoption by experimental researchers who generate the data.</w:t>
      </w:r>
      <w:r>
        <w:t xml:space="preserve"> </w:t>
      </w:r>
      <w:r>
        <w:rPr>
          <w:b/>
          <w:bCs/>
        </w:rPr>
        <w:t xml:space="preserve">Innovation 4</w:t>
      </w:r>
      <w:r>
        <w:t xml:space="preserve">: Confluencia 3.0 is designed as an extensible platform (not a single-purpose tool) with EventBus-first decoupling (34+ event types, pub/sub), five interfaces (Python/Streamlit/CLI/R/PyQt6), and federated model sharing (Confluencia Hub). New algorithms replace existing implementations by subscribing to events without modifying other subsystems, the platform persists while algorithms evolve.</w:t>
      </w:r>
    </w:p>
    <w:p>
      <w:pPr>
        <w:pStyle w:val="BodyText"/>
      </w:pPr>
      <w:r>
        <w:rPr>
          <w:b/>
          <w:bCs/>
        </w:rPr>
        <w:t xml:space="preserve">Contribution Statement.</w:t>
      </w:r>
      <w:r>
        <w:t xml:space="preserve"> </w:t>
      </w:r>
      <w:r>
        <w:t xml:space="preserve">We present Confluencia 3.0 as a computational platform with four scientific innovations: (1) circRNA-specific PK model validated against literature, (2) pathway-resolved immunogenicity scoring with differential m6A modeling, (3) subtype-adaptive TNBC simulation integrated with circRNA design, (4) extensible EventBus architecture enabling algorithm replacement without platform reimplementation. We additionally introduce three circRNA therapy mechanisms (miRNA sponge, protein coding, immune stimulation) with event-driven treatment dispatch. All claims are hypothesis-generating pending wet-lab validation.</w:t>
      </w:r>
    </w:p>
    <w:p>
      <w:pPr>
        <w:pStyle w:val="BodyText"/>
      </w:pPr>
      <w:r>
        <w:t xml:space="preserve">Most computational biology tools require programming expertise, limiting adoption by experimental biologists who generate the data these tools need. circRNA researchers are often molecular biologists, not software engineers. Confluencia 3.0 addresses this through multiple interfaces: Python API, Streamlit web UI, CLI, R package, and PyQt6 desktop IDE with natural-language query capability for non-programming users.</w:t>
      </w:r>
    </w:p>
    <w:p>
      <w:pPr>
        <w:pStyle w:val="BodyText"/>
      </w:pPr>
      <w:r>
        <w:rPr>
          <w:b/>
          <w:bCs/>
        </w:rPr>
        <w:t xml:space="preserve">Beyond accessibility, a critical challenge is longevity: algorithms become outdated as methods emerge.</w:t>
      </w:r>
      <w:r>
        <w:t xml:space="preserve"> </w:t>
      </w:r>
      <w:r>
        <w:t xml:space="preserve">Single-purpose tools implementing specific algorithms risk obsolescence when that algorithm is superseded by newer methods. Confluencia 3.0 addresses this through a platform architecture that decouples algorithms from infrastructure:</w:t>
      </w:r>
    </w:p>
    <w:p>
      <w:pPr>
        <w:numPr>
          <w:ilvl w:val="0"/>
          <w:numId w:val="1001"/>
        </w:numPr>
      </w:pPr>
      <w:r>
        <w:rPr>
          <w:b/>
          <w:bCs/>
        </w:rPr>
        <w:t xml:space="preserve">EventBus architecture</w:t>
      </w:r>
      <w:r>
        <w:t xml:space="preserve">: Modules communicate via pub/sub events, not direct calls. New algorithms can subscribe to the same events and emit results, replacing existing implementations without modifying other subsystems.</w:t>
      </w:r>
    </w:p>
    <w:p>
      <w:pPr>
        <w:numPr>
          <w:ilvl w:val="0"/>
          <w:numId w:val="1001"/>
        </w:numPr>
      </w:pPr>
      <w:r>
        <w:rPr>
          <w:b/>
          <w:bCs/>
        </w:rPr>
        <w:t xml:space="preserve">Backend lazy-loading</w:t>
      </w:r>
      <w:r>
        <w:t xml:space="preserve">: External tools (ViennaRNA, ESM2, NetMHCpan) are loaded on-demand with three-tier fallback (GPU</w:t>
      </w:r>
      <m:oMath>
        <m:r>
          <m:rPr>
            <m:sty m:val="p"/>
          </m:rPr>
          <m:t>→</m:t>
        </m:r>
      </m:oMath>
      <w:r>
        <w:t xml:space="preserve">CPU</w:t>
      </w:r>
      <m:oMath>
        <m:r>
          <m:rPr>
            <m:sty m:val="p"/>
          </m:rPr>
          <m:t>→</m:t>
        </m:r>
      </m:oMath>
      <w:r>
        <w:t xml:space="preserve">heuristic), ensuring operation even when dependencies unavailable.</w:t>
      </w:r>
    </w:p>
    <w:p>
      <w:pPr>
        <w:numPr>
          <w:ilvl w:val="0"/>
          <w:numId w:val="1001"/>
        </w:numPr>
      </w:pPr>
      <w:r>
        <w:rPr>
          <w:b/>
          <w:bCs/>
        </w:rPr>
        <w:t xml:space="preserve">SubsystemManager pattern</w:t>
      </w:r>
      <w:r>
        <w:t xml:space="preserve">: Six managers (Tumor/TME/Treatment/CircRNA/Biomarker/Clinical) coordinate 37+ sub-modules, enabling modular replacement and extension.</w:t>
      </w:r>
    </w:p>
    <w:p>
      <w:pPr>
        <w:numPr>
          <w:ilvl w:val="0"/>
          <w:numId w:val="1001"/>
        </w:numPr>
      </w:pPr>
      <w:r>
        <w:rPr>
          <w:b/>
          <w:bCs/>
        </w:rPr>
        <w:t xml:space="preserve">Bridge architecture</w:t>
      </w:r>
      <w:r>
        <w:t xml:space="preserve">: Confluencia 2.0 modules (Drug/Epitope/PK/Joint) are accessible via lazy-loading bridges, providing backward compatibility while maintaining independence.</w:t>
      </w:r>
    </w:p>
    <w:p>
      <w:pPr>
        <w:pStyle w:val="FirstParagraph"/>
      </w:pPr>
      <w:r>
        <w:rPr>
          <w:b/>
          <w:bCs/>
        </w:rPr>
        <w:t xml:space="preserve">The small-sample problem is endemic to circRNA computational work.</w:t>
      </w:r>
      <w:r>
        <w:t xml:space="preserve"> </w:t>
      </w:r>
      <w:r>
        <w:t xml:space="preserve">Confluencia Hub addresses this through federated model and data sharing where users upload trained model bundles (not raw data). Privacy is preserved: no SMILES or nucleotide sequences are logged; data contributors can strip statistical traces before upload. Ethics-gated uploads require data source declaration (DOI or IRB number) and dual-use screening, enabling collaborative aggregation while maintaining ethical standards. SHA256 hash verification mitigates code execution risks.</w:t>
      </w:r>
    </w:p>
    <w:bookmarkEnd w:id="10"/>
    <w:bookmarkEnd w:id="11"/>
    <w:bookmarkStart w:id="26" w:name="methods"/>
    <w:p>
      <w:pPr>
        <w:pStyle w:val="Heading1"/>
      </w:pPr>
      <w:r>
        <w:t xml:space="preserve">Methods</w:t>
      </w:r>
    </w:p>
    <w:bookmarkStart w:id="16" w:name="software-architecture-and-implementation"/>
    <w:p>
      <w:pPr>
        <w:pStyle w:val="Heading2"/>
      </w:pPr>
      <w:r>
        <w:t xml:space="preserve">Software Architecture and Implementation</w:t>
      </w:r>
    </w:p>
    <w:p>
      <w:pPr>
        <w:pStyle w:val="FirstParagraph"/>
      </w:pPr>
      <w:r>
        <w:rPr>
          <w:b/>
          <w:bCs/>
        </w:rPr>
        <w:t xml:space="preserve">EventBus-first multi-subsystem design.</w:t>
      </w:r>
      <w:r>
        <w:t xml:space="preserve"> </w:t>
      </w:r>
      <w:r>
        <w:t xml:space="preserve">Confluencia 3.0 implements a unified simulation platform through an EventBus architecture coordinating six subsystems (Tumor, TME, Treatment, CircRNA, Biomarker, Clinical) via 34+ event types. The architecture decouples modules through pub/sub communication, enabling lazy-loading of external backends and offline-first degradation (ESM2</w:t>
      </w:r>
      <w:r>
        <w:t xml:space="preserve"> </w:t>
      </w:r>
      <m:oMath>
        <m:r>
          <m:rPr>
            <m:sty m:val="p"/>
          </m:rPr>
          <m:t>→</m:t>
        </m:r>
      </m:oMath>
      <w:r>
        <w:t xml:space="preserve"> </w:t>
      </w:r>
      <w:r>
        <w:t xml:space="preserve">ViennaRNA</w:t>
      </w:r>
      <w:r>
        <w:t xml:space="preserve"> </w:t>
      </w:r>
      <m:oMath>
        <m:r>
          <m:rPr>
            <m:sty m:val="p"/>
          </m:rPr>
          <m:t>→</m:t>
        </m:r>
      </m:oMath>
      <w:r>
        <w:t xml:space="preserve"> </w:t>
      </w:r>
      <w:r>
        <w:t xml:space="preserve">heuristic fallback).</w:t>
      </w:r>
    </w:p>
    <w:bookmarkStart w:id="15" w:name="fig:architecture"/>
    <w:p>
      <w:pPr>
        <w:pStyle w:val="CaptionedFigure"/>
      </w:pPr>
      <w:r>
        <w:drawing>
          <wp:inline>
            <wp:extent cx="5334000" cy="3798686"/>
            <wp:effectExtent b="0" l="0" r="0" t="0"/>
            <wp:docPr descr="" title="" id="13" name="Picture"/>
            <a:graphic>
              <a:graphicData uri="http://schemas.openxmlformats.org/drawingml/2006/picture">
                <pic:pic>
                  <pic:nvPicPr>
                    <pic:cNvPr descr="fig1_system_architecture.png" id="14" name="Picture"/>
                    <pic:cNvPicPr>
                      <a:picLocks noChangeArrowheads="1" noChangeAspect="1"/>
                    </pic:cNvPicPr>
                  </pic:nvPicPr>
                  <pic:blipFill>
                    <a:blip r:embed="rId12"/>
                    <a:stretch>
                      <a:fillRect/>
                    </a:stretch>
                  </pic:blipFill>
                  <pic:spPr bwMode="auto">
                    <a:xfrm>
                      <a:off x="0" y="0"/>
                      <a:ext cx="5334000" cy="3798686"/>
                    </a:xfrm>
                    <a:prstGeom prst="rect">
                      <a:avLst/>
                    </a:prstGeom>
                    <a:noFill/>
                    <a:ln w="9525">
                      <a:noFill/>
                      <a:headEnd/>
                      <a:tailEnd/>
                    </a:ln>
                  </pic:spPr>
                </pic:pic>
              </a:graphicData>
            </a:graphic>
          </wp:inline>
        </w:drawing>
      </w:r>
    </w:p>
    <w:p>
      <w:pPr>
        <w:pStyle w:val="ImageCaption"/>
      </w:pPr>
      <w:r>
        <w:rPr>
          <w:b/>
          <w:bCs/>
        </w:rPr>
        <w:t xml:space="preserve">Confluencia 3.0 system architecture.</w:t>
      </w:r>
      <w:r>
        <w:t xml:space="preserve"> </w:t>
      </w:r>
      <w:r>
        <w:t xml:space="preserve">(A) EventBus-first design with six subsystems (Tumor, TME, Treatment, CircRNA, Biomarker, Clinical) communicating via 34+ event types. (B) Three-tier backend degradation (GPU</w:t>
      </w:r>
      <m:oMath>
        <m:r>
          <m:rPr>
            <m:sty m:val="p"/>
          </m:rPr>
          <m:t>→</m:t>
        </m:r>
      </m:oMath>
      <w:r>
        <w:t xml:space="preserve">CPU</w:t>
      </w:r>
      <m:oMath>
        <m:r>
          <m:rPr>
            <m:sty m:val="p"/>
          </m:rPr>
          <m:t>→</m:t>
        </m:r>
      </m:oMath>
      <w:r>
        <w:t xml:space="preserve">heuristic) for offline operation. (C) Five interfaces: Python API, Streamlit web UI, CLI, R package, PyQt6 desktop IDE. (D) Confluencia Hub federated model sharing with ethics-gated uploads.</w:t>
      </w:r>
    </w:p>
    <w:bookmarkEnd w:id="15"/>
    <w:p>
      <w:pPr>
        <w:pStyle w:val="BodyText"/>
      </w:pPr>
      <w:r>
        <w:rPr>
          <w:b/>
          <w:bCs/>
        </w:rPr>
        <w:t xml:space="preserve">Core components:</w:t>
      </w:r>
    </w:p>
    <w:p>
      <w:pPr>
        <w:numPr>
          <w:ilvl w:val="0"/>
          <w:numId w:val="1002"/>
        </w:numPr>
      </w:pPr>
      <w:r>
        <w:rPr>
          <w:b/>
          <w:bCs/>
        </w:rPr>
        <w:t xml:space="preserve">TNBCSimulacrum Agent</w:t>
      </w:r>
      <w:r>
        <w:t xml:space="preserve">: Main orchestrator managing 37+ sub-modules across six SubsystemManagers</w:t>
      </w:r>
    </w:p>
    <w:p>
      <w:pPr>
        <w:numPr>
          <w:ilvl w:val="0"/>
          <w:numId w:val="1002"/>
        </w:numPr>
      </w:pPr>
      <w:r>
        <w:rPr>
          <w:b/>
          <w:bCs/>
        </w:rPr>
        <w:t xml:space="preserve">State schema</w:t>
      </w:r>
      <w:r>
        <w:t xml:space="preserve">:</w:t>
      </w:r>
      <w:r>
        <w:t xml:space="preserve"> </w:t>
      </w:r>
      <m:oMath>
        <m:r>
          <m:rPr>
            <m:sty m:val="p"/>
          </m:rPr>
          <m:t>∼</m:t>
        </m:r>
      </m:oMath>
      <w:r>
        <w:t xml:space="preserve">180 state keys with prefix namespacing (</w:t>
      </w:r>
      <w:r>
        <w:rPr>
          <w:rStyle w:val="VerbatimChar"/>
        </w:rPr>
        <w:t xml:space="preserve">t_*</w:t>
      </w:r>
      <w:r>
        <w:t xml:space="preserve">,</w:t>
      </w:r>
      <w:r>
        <w:t xml:space="preserve"> </w:t>
      </w:r>
      <w:r>
        <w:rPr>
          <w:rStyle w:val="VerbatimChar"/>
        </w:rPr>
        <w:t xml:space="preserve">tme_*</w:t>
      </w:r>
      <w:r>
        <w:t xml:space="preserve">,</w:t>
      </w:r>
      <w:r>
        <w:t xml:space="preserve"> </w:t>
      </w:r>
      <w:r>
        <w:rPr>
          <w:rStyle w:val="VerbatimChar"/>
        </w:rPr>
        <w:t xml:space="preserve">tx_*</w:t>
      </w:r>
      <w:r>
        <w:t xml:space="preserve">,</w:t>
      </w:r>
      <w:r>
        <w:t xml:space="preserve"> </w:t>
      </w:r>
      <w:r>
        <w:rPr>
          <w:rStyle w:val="VerbatimChar"/>
        </w:rPr>
        <w:t xml:space="preserve">crna_*</w:t>
      </w:r>
      <w:r>
        <w:t xml:space="preserve">,</w:t>
      </w:r>
      <w:r>
        <w:t xml:space="preserve"> </w:t>
      </w:r>
      <w:r>
        <w:rPr>
          <w:rStyle w:val="VerbatimChar"/>
        </w:rPr>
        <w:t xml:space="preserve">bm_*</w:t>
      </w:r>
      <w:r>
        <w:t xml:space="preserve">,</w:t>
      </w:r>
      <w:r>
        <w:t xml:space="preserve"> </w:t>
      </w:r>
      <w:r>
        <w:rPr>
          <w:rStyle w:val="VerbatimChar"/>
        </w:rPr>
        <w:t xml:space="preserve">cl_*</w:t>
      </w:r>
      <w:r>
        <w:t xml:space="preserve">) ensuring module isolation</w:t>
      </w:r>
    </w:p>
    <w:p>
      <w:pPr>
        <w:numPr>
          <w:ilvl w:val="0"/>
          <w:numId w:val="1002"/>
        </w:numPr>
      </w:pPr>
      <w:r>
        <w:rPr>
          <w:b/>
          <w:bCs/>
        </w:rPr>
        <w:t xml:space="preserve">Backend architecture</w:t>
      </w:r>
      <w:r>
        <w:t xml:space="preserve">: Three-tier degradation (GPU-accelerated ESM2</w:t>
      </w:r>
      <w:r>
        <w:t xml:space="preserve"> </w:t>
      </w:r>
      <m:oMath>
        <m:r>
          <m:rPr>
            <m:sty m:val="p"/>
          </m:rPr>
          <m:t>→</m:t>
        </m:r>
      </m:oMath>
      <w:r>
        <w:t xml:space="preserve"> </w:t>
      </w:r>
      <w:r>
        <w:t xml:space="preserve">ViennaRNA physics</w:t>
      </w:r>
      <w:r>
        <w:t xml:space="preserve"> </w:t>
      </w:r>
      <m:oMath>
        <m:r>
          <m:rPr>
            <m:sty m:val="p"/>
          </m:rPr>
          <m:t>→</m:t>
        </m:r>
      </m:oMath>
      <w:r>
        <w:t xml:space="preserve"> </w:t>
      </w:r>
      <w:r>
        <w:t xml:space="preserve">heuristic baseline) for offline operation</w:t>
      </w:r>
    </w:p>
    <w:p>
      <w:pPr>
        <w:numPr>
          <w:ilvl w:val="0"/>
          <w:numId w:val="1002"/>
        </w:numPr>
      </w:pPr>
      <w:r>
        <w:rPr>
          <w:b/>
          <w:bCs/>
        </w:rPr>
        <w:t xml:space="preserve">2.0 bridges</w:t>
      </w:r>
      <w:r>
        <w:t xml:space="preserve">: DrugPredictionBridge, PKModelBridge, EpitopePredictionBridge, JointEvaluationBridge providing backward compatibility</w:t>
      </w:r>
    </w:p>
    <w:p>
      <w:pPr>
        <w:pStyle w:val="FirstParagraph"/>
      </w:pPr>
      <w:r>
        <w:rPr>
          <w:b/>
          <w:bCs/>
        </w:rPr>
        <w:t xml:space="preserve">Implementation details:</w:t>
      </w:r>
    </w:p>
    <w:p>
      <w:pPr>
        <w:numPr>
          <w:ilvl w:val="0"/>
          <w:numId w:val="1003"/>
        </w:numPr>
      </w:pPr>
      <w:r>
        <w:t xml:space="preserve">Python 3.10+, 87% test coverage via pytest</w:t>
      </w:r>
    </w:p>
    <w:p>
      <w:pPr>
        <w:numPr>
          <w:ilvl w:val="0"/>
          <w:numId w:val="1003"/>
        </w:numPr>
      </w:pPr>
      <w:r>
        <w:t xml:space="preserve">Streamlit frontend with 10 interactive tabs (tumor dashboard, TME/immune, treatment, circRNA analysis/design/vaccine, biomarker, clinical, experiments, 2.0 bridge)</w:t>
      </w:r>
    </w:p>
    <w:p>
      <w:pPr>
        <w:numPr>
          <w:ilvl w:val="0"/>
          <w:numId w:val="1003"/>
        </w:numPr>
      </w:pPr>
      <w:r>
        <w:t xml:space="preserve">15 pre-defined experiment modules including subtype comparison, PK/PD integration, circRNA therapy mechanisms, combination screening</w:t>
      </w:r>
    </w:p>
    <w:p>
      <w:pPr>
        <w:numPr>
          <w:ilvl w:val="0"/>
          <w:numId w:val="1003"/>
        </w:numPr>
      </w:pPr>
      <w:r>
        <w:t xml:space="preserve">CLI entry point:</w:t>
      </w:r>
      <w:r>
        <w:t xml:space="preserve"> </w:t>
      </w:r>
      <w:r>
        <w:rPr>
          <w:rStyle w:val="VerbatimChar"/>
        </w:rPr>
        <w:t xml:space="preserve">confluencia simulate --subtype IM --steps 100</w:t>
      </w:r>
    </w:p>
    <w:p>
      <w:pPr>
        <w:numPr>
          <w:ilvl w:val="0"/>
          <w:numId w:val="1003"/>
        </w:numPr>
      </w:pPr>
      <w:r>
        <w:t xml:space="preserve">R package bindings:</w:t>
      </w:r>
      <w:r>
        <w:t xml:space="preserve"> </w:t>
      </w:r>
      <w:r>
        <w:rPr>
          <w:rStyle w:val="VerbatimChar"/>
        </w:rPr>
        <w:t xml:space="preserve">cf_drug_predict()</w:t>
      </w:r>
      <w:r>
        <w:t xml:space="preserve">,</w:t>
      </w:r>
      <w:r>
        <w:t xml:space="preserve"> </w:t>
      </w:r>
      <w:r>
        <w:rPr>
          <w:rStyle w:val="VerbatimChar"/>
        </w:rPr>
        <w:t xml:space="preserve">cf_hub_push_model()</w:t>
      </w:r>
    </w:p>
    <w:p>
      <w:pPr>
        <w:pStyle w:val="FirstParagraph"/>
      </w:pPr>
      <w:r>
        <w:rPr>
          <w:b/>
          <w:bCs/>
        </w:rPr>
        <w:t xml:space="preserve">Event types (circRNA-specific):</w:t>
      </w:r>
    </w:p>
    <w:p>
      <w:pPr>
        <w:numPr>
          <w:ilvl w:val="0"/>
          <w:numId w:val="1004"/>
        </w:numPr>
      </w:pPr>
      <w:r>
        <w:rPr>
          <w:rStyle w:val="VerbatimChar"/>
        </w:rPr>
        <w:t xml:space="preserve">CIRCRNA_IMMUNE_EVAL</w:t>
      </w:r>
      <w:r>
        <w:t xml:space="preserve">: Immune sensing evaluation request (PKR/MDA5/TLR pathways)</w:t>
      </w:r>
    </w:p>
    <w:p>
      <w:pPr>
        <w:numPr>
          <w:ilvl w:val="0"/>
          <w:numId w:val="1004"/>
        </w:numPr>
      </w:pPr>
      <w:r>
        <w:rPr>
          <w:rStyle w:val="VerbatimChar"/>
        </w:rPr>
        <w:t xml:space="preserve">CIRCRNA_STRUCTURE_PREDICT</w:t>
      </w:r>
      <w:r>
        <w:t xml:space="preserve">: Secondary/tertiary structure prediction via ViennaRNA/TorusFold</w:t>
      </w:r>
    </w:p>
    <w:p>
      <w:pPr>
        <w:numPr>
          <w:ilvl w:val="0"/>
          <w:numId w:val="1004"/>
        </w:numPr>
      </w:pPr>
      <w:r>
        <w:rPr>
          <w:rStyle w:val="VerbatimChar"/>
        </w:rPr>
        <w:t xml:space="preserve">CIRCRNA_SEQUENCE_EVOLVE</w:t>
      </w:r>
      <w:r>
        <w:t xml:space="preserve">: RL-ABM sequence optimization trigger</w:t>
      </w:r>
    </w:p>
    <w:p>
      <w:pPr>
        <w:numPr>
          <w:ilvl w:val="0"/>
          <w:numId w:val="1004"/>
        </w:numPr>
      </w:pPr>
      <w:r>
        <w:rPr>
          <w:rStyle w:val="VerbatimChar"/>
        </w:rPr>
        <w:t xml:space="preserve">CIRCRNA_THERAPY_UPDATE</w:t>
      </w:r>
      <w:r>
        <w:t xml:space="preserve">: CircRNA therapy administration event (miRNA sponge/protein coding/immune stimulation mechanisms)</w:t>
      </w:r>
    </w:p>
    <w:p>
      <w:pPr>
        <w:numPr>
          <w:ilvl w:val="0"/>
          <w:numId w:val="1004"/>
        </w:numPr>
      </w:pPr>
      <w:r>
        <w:rPr>
          <w:rStyle w:val="VerbatimChar"/>
        </w:rPr>
        <w:t xml:space="preserve">CIRCRNA_PKPD_UPDATE</w:t>
      </w:r>
      <w:r>
        <w:t xml:space="preserve">: Pharmacokinetic-pharmacodynamic state update</w:t>
      </w:r>
    </w:p>
    <w:bookmarkEnd w:id="16"/>
    <w:bookmarkStart w:id="18" w:name="module-1-tnbc-simulacrum"/>
    <w:p>
      <w:pPr>
        <w:pStyle w:val="Heading2"/>
      </w:pPr>
      <w:r>
        <w:t xml:space="preserve">Module 1: TNBC Simulacrum</w:t>
      </w:r>
    </w:p>
    <w:p>
      <w:pPr>
        <w:pStyle w:val="FirstParagraph"/>
      </w:pPr>
      <w:r>
        <w:t xml:space="preserve">The TNBC Simulacrum module implements spatial tumor microenvironment (TME) simulation with the following components:</w:t>
      </w:r>
    </w:p>
    <w:p>
      <w:pPr>
        <w:pStyle w:val="BodyText"/>
      </w:pPr>
      <w:r>
        <w:rPr>
          <w:b/>
          <w:bCs/>
        </w:rPr>
        <w:t xml:space="preserve">Immune cell populations (9 types):</w:t>
      </w:r>
    </w:p>
    <w:p>
      <w:pPr>
        <w:numPr>
          <w:ilvl w:val="0"/>
          <w:numId w:val="1005"/>
        </w:numPr>
      </w:pPr>
      <w:r>
        <w:t xml:space="preserve">Cytotoxic T lymphocytes (CTL)</w:t>
      </w:r>
    </w:p>
    <w:p>
      <w:pPr>
        <w:numPr>
          <w:ilvl w:val="0"/>
          <w:numId w:val="1005"/>
        </w:numPr>
      </w:pPr>
      <w:r>
        <w:t xml:space="preserve">Helper T cells (Th1, Th2)</w:t>
      </w:r>
    </w:p>
    <w:p>
      <w:pPr>
        <w:numPr>
          <w:ilvl w:val="0"/>
          <w:numId w:val="1005"/>
        </w:numPr>
      </w:pPr>
      <w:r>
        <w:t xml:space="preserve">Regulatory T cells (Treg)</w:t>
      </w:r>
    </w:p>
    <w:p>
      <w:pPr>
        <w:numPr>
          <w:ilvl w:val="0"/>
          <w:numId w:val="1005"/>
        </w:numPr>
      </w:pPr>
      <w:r>
        <w:t xml:space="preserve">Natural killer cells (NK)</w:t>
      </w:r>
    </w:p>
    <w:p>
      <w:pPr>
        <w:numPr>
          <w:ilvl w:val="0"/>
          <w:numId w:val="1005"/>
        </w:numPr>
      </w:pPr>
      <w:r>
        <w:t xml:space="preserve">M1 macrophages (anti-tumor)</w:t>
      </w:r>
    </w:p>
    <w:p>
      <w:pPr>
        <w:numPr>
          <w:ilvl w:val="0"/>
          <w:numId w:val="1005"/>
        </w:numPr>
      </w:pPr>
      <w:r>
        <w:t xml:space="preserve">M2 macrophages (pro-tumor)</w:t>
      </w:r>
    </w:p>
    <w:p>
      <w:pPr>
        <w:numPr>
          <w:ilvl w:val="0"/>
          <w:numId w:val="1005"/>
        </w:numPr>
      </w:pPr>
      <w:r>
        <w:t xml:space="preserve">Dendritic cells (DC)</w:t>
      </w:r>
    </w:p>
    <w:p>
      <w:pPr>
        <w:numPr>
          <w:ilvl w:val="0"/>
          <w:numId w:val="1005"/>
        </w:numPr>
      </w:pPr>
      <w:r>
        <w:t xml:space="preserve">Myeloid-derived suppressor cells (MDSC)</w:t>
      </w:r>
    </w:p>
    <w:p>
      <w:pPr>
        <w:pStyle w:val="FirstParagraph"/>
      </w:pPr>
      <w:r>
        <w:rPr>
          <w:b/>
          <w:bCs/>
        </w:rPr>
        <w:t xml:space="preserve">Cytokine network (6 cytokines):</w:t>
      </w:r>
    </w:p>
    <w:p>
      <w:pPr>
        <w:numPr>
          <w:ilvl w:val="0"/>
          <w:numId w:val="1006"/>
        </w:numPr>
      </w:pPr>
      <w:r>
        <w:t xml:space="preserve">IFN-</w:t>
      </w:r>
      <m:oMath>
        <m:r>
          <m:t>γ</m:t>
        </m:r>
      </m:oMath>
      <w:r>
        <w:t xml:space="preserve">, IL-2, IL-12 (pro-immune)</w:t>
      </w:r>
    </w:p>
    <w:p>
      <w:pPr>
        <w:numPr>
          <w:ilvl w:val="0"/>
          <w:numId w:val="1006"/>
        </w:numPr>
      </w:pPr>
      <w:r>
        <w:t xml:space="preserve">IL-10, TGF-</w:t>
      </w:r>
      <m:oMath>
        <m:r>
          <m:t>β</m:t>
        </m:r>
      </m:oMath>
      <w:r>
        <w:t xml:space="preserve">, IL-6 (immunosuppressive)</w:t>
      </w:r>
    </w:p>
    <w:p>
      <w:pPr>
        <w:pStyle w:val="FirstParagraph"/>
      </w:pPr>
      <w:r>
        <w:rPr>
          <w:b/>
          <w:bCs/>
        </w:rPr>
        <w:t xml:space="preserve">Spatial compartments (3 regions):</w:t>
      </w:r>
    </w:p>
    <w:p>
      <w:pPr>
        <w:numPr>
          <w:ilvl w:val="0"/>
          <w:numId w:val="1007"/>
        </w:numPr>
      </w:pPr>
      <w:r>
        <w:t xml:space="preserve">Tumor core (hypoxic, immunosuppressive)</w:t>
      </w:r>
    </w:p>
    <w:p>
      <w:pPr>
        <w:numPr>
          <w:ilvl w:val="0"/>
          <w:numId w:val="1007"/>
        </w:numPr>
      </w:pPr>
      <w:r>
        <w:t xml:space="preserve">Tumor margin (immune infiltration zone)</w:t>
      </w:r>
    </w:p>
    <w:p>
      <w:pPr>
        <w:numPr>
          <w:ilvl w:val="0"/>
          <w:numId w:val="1007"/>
        </w:numPr>
      </w:pPr>
      <w:r>
        <w:t xml:space="preserve">Stroma (vascular access, drug penetration)</w:t>
      </w:r>
    </w:p>
    <w:p>
      <w:pPr>
        <w:pStyle w:val="FirstParagraph"/>
      </w:pPr>
      <w:r>
        <w:rPr>
          <w:b/>
          <w:bCs/>
        </w:rPr>
        <w:t xml:space="preserve">Subclonal evolution:</w:t>
      </w:r>
    </w:p>
    <w:p>
      <w:pPr>
        <w:numPr>
          <w:ilvl w:val="0"/>
          <w:numId w:val="1008"/>
        </w:numPr>
      </w:pPr>
      <w:r>
        <w:t xml:space="preserve">Initial clonal diversity: Shannon index 0.2-0.5</w:t>
      </w:r>
    </w:p>
    <w:p>
      <w:pPr>
        <w:numPr>
          <w:ilvl w:val="0"/>
          <w:numId w:val="1008"/>
        </w:numPr>
      </w:pPr>
      <w:r>
        <w:t xml:space="preserve">Treatment-induced mutation rate: 1-50% per cycle</w:t>
      </w:r>
    </w:p>
    <w:p>
      <w:pPr>
        <w:numPr>
          <w:ilvl w:val="0"/>
          <w:numId w:val="1008"/>
        </w:numPr>
      </w:pPr>
      <w:r>
        <w:t xml:space="preserve">Resistant subclone emergence: 3-5 clones per simulation</w:t>
      </w:r>
    </w:p>
    <w:p>
      <w:pPr>
        <w:numPr>
          <w:ilvl w:val="0"/>
          <w:numId w:val="1008"/>
        </w:numPr>
      </w:pPr>
      <w:r>
        <w:t xml:space="preserve">Dominant clone frequency tracking</w:t>
      </w:r>
    </w:p>
    <w:p>
      <w:pPr>
        <w:pStyle w:val="FirstParagraph"/>
      </w:pPr>
      <w:r>
        <w:rPr>
          <w:b/>
          <w:bCs/>
        </w:rPr>
        <w:t xml:space="preserve">TNBC subtype parameterization:</w:t>
      </w:r>
    </w:p>
    <w:bookmarkStart w:id="17" w:name="tab:subtypes"/>
    <w:p>
      <w:pPr>
        <w:pStyle w:val="TableCaption"/>
      </w:pPr>
      <w:r>
        <w:t xml:space="preserve">TNBC subtype-specific parameters from Jiang et al. (2019)</w:t>
      </w:r>
    </w:p>
    <w:tbl>
      <w:tblPr>
        <w:tblStyle w:val="Table"/>
        <w:tblW w:type="auto" w:w="0"/>
        <w:tblLook w:firstRow="1" w:lastRow="0" w:firstColumn="0" w:lastColumn="0" w:noHBand="0" w:noVBand="0" w:val="0020"/>
        <w:tblCaption w:val="TNBC subtype-specific parameters from Jiang et al. (2019)"/>
      </w:tblPr>
      <w:tblGrid>
        <w:gridCol w:w="1320"/>
        <w:gridCol w:w="1320"/>
        <w:gridCol w:w="1320"/>
        <w:gridCol w:w="1320"/>
        <w:gridCol w:w="1320"/>
        <w:gridCol w:w="1320"/>
      </w:tblGrid>
      <w:tr>
        <w:trPr>
          <w:tblHeader w:val="on"/>
        </w:trPr>
        <w:tc>
          <w:tcPr/>
          <w:p>
            <w:pPr>
              <w:pStyle w:val="Compact"/>
              <w:jc w:val="left"/>
            </w:pPr>
            <w:r>
              <w:t xml:space="preserve">Subtype</w:t>
            </w:r>
          </w:p>
        </w:tc>
        <w:tc>
          <w:tcPr/>
          <w:p>
            <w:pPr>
              <w:pStyle w:val="Compact"/>
              <w:jc w:val="center"/>
            </w:pPr>
            <w:r>
              <w:t xml:space="preserve">TIL Density</w:t>
            </w:r>
          </w:p>
        </w:tc>
        <w:tc>
          <w:tcPr/>
          <w:p>
            <w:pPr>
              <w:pStyle w:val="Compact"/>
              <w:jc w:val="center"/>
            </w:pPr>
            <w:r>
              <w:t xml:space="preserve">PD-L1</w:t>
            </w:r>
          </w:p>
        </w:tc>
        <w:tc>
          <w:tcPr/>
          <w:p>
            <w:pPr>
              <w:pStyle w:val="Compact"/>
              <w:jc w:val="center"/>
            </w:pPr>
            <w:r>
              <w:t xml:space="preserve">Response</w:t>
            </w:r>
          </w:p>
        </w:tc>
        <w:tc>
          <w:tcPr/>
          <w:p>
            <w:pPr>
              <w:pStyle w:val="Compact"/>
              <w:jc w:val="center"/>
            </w:pPr>
            <w:r>
              <w:t xml:space="preserve">TME Class</w:t>
            </w:r>
          </w:p>
        </w:tc>
        <w:tc>
          <w:tcPr/>
          <w:p>
            <w:pPr>
              <w:pStyle w:val="Compact"/>
              <w:jc w:val="left"/>
            </w:pPr>
            <w:r>
              <w:t xml:space="preserve">Prognosis</w:t>
            </w:r>
          </w:p>
        </w:tc>
      </w:tr>
      <w:tr>
        <w:tc>
          <w:tcPr/>
          <w:p>
            <w:pPr>
              <w:pStyle w:val="Compact"/>
              <w:jc w:val="left"/>
            </w:pPr>
            <w:r>
              <w:t xml:space="preserve">BLIS</w:t>
            </w:r>
          </w:p>
        </w:tc>
        <w:tc>
          <w:tcPr/>
          <w:p>
            <w:pPr>
              <w:pStyle w:val="Compact"/>
              <w:jc w:val="center"/>
            </w:pPr>
            <w:r>
              <w:t xml:space="preserve">0.08-0.15</w:t>
            </w:r>
          </w:p>
        </w:tc>
        <w:tc>
          <w:tcPr/>
          <w:p>
            <w:pPr>
              <w:pStyle w:val="Compact"/>
              <w:jc w:val="center"/>
            </w:pPr>
            <w:r>
              <w:t xml:space="preserve">0.10-0.20</w:t>
            </w:r>
          </w:p>
        </w:tc>
        <w:tc>
          <w:tcPr/>
          <w:p>
            <w:pPr>
              <w:pStyle w:val="Compact"/>
              <w:jc w:val="center"/>
            </w:pPr>
            <w:r>
              <w:t xml:space="preserve">Poor</w:t>
            </w:r>
          </w:p>
        </w:tc>
        <w:tc>
          <w:tcPr/>
          <w:p>
            <w:pPr>
              <w:pStyle w:val="Compact"/>
              <w:jc w:val="center"/>
            </w:pPr>
            <w:r>
              <w:t xml:space="preserve">Cold</w:t>
            </w:r>
          </w:p>
        </w:tc>
        <w:tc>
          <w:tcPr/>
          <w:p>
            <w:pPr>
              <w:pStyle w:val="Compact"/>
              <w:jc w:val="left"/>
            </w:pPr>
            <w:r>
              <w:t xml:space="preserve">Worst</w:t>
            </w:r>
          </w:p>
        </w:tc>
      </w:tr>
      <w:tr>
        <w:tc>
          <w:tcPr/>
          <w:p>
            <w:pPr>
              <w:pStyle w:val="Compact"/>
              <w:jc w:val="left"/>
            </w:pPr>
            <w:r>
              <w:t xml:space="preserve">IM</w:t>
            </w:r>
          </w:p>
        </w:tc>
        <w:tc>
          <w:tcPr/>
          <w:p>
            <w:pPr>
              <w:pStyle w:val="Compact"/>
              <w:jc w:val="center"/>
            </w:pPr>
            <w:r>
              <w:t xml:space="preserve">0.50-0.70</w:t>
            </w:r>
          </w:p>
        </w:tc>
        <w:tc>
          <w:tcPr/>
          <w:p>
            <w:pPr>
              <w:pStyle w:val="Compact"/>
              <w:jc w:val="center"/>
            </w:pPr>
            <w:r>
              <w:t xml:space="preserve">0.40-0.60</w:t>
            </w:r>
          </w:p>
        </w:tc>
        <w:tc>
          <w:tcPr/>
          <w:p>
            <w:pPr>
              <w:pStyle w:val="Compact"/>
              <w:jc w:val="center"/>
            </w:pPr>
            <w:r>
              <w:t xml:space="preserve">Good</w:t>
            </w:r>
          </w:p>
        </w:tc>
        <w:tc>
          <w:tcPr/>
          <w:p>
            <w:pPr>
              <w:pStyle w:val="Compact"/>
              <w:jc w:val="center"/>
            </w:pPr>
            <w:r>
              <w:t xml:space="preserve">Hot</w:t>
            </w:r>
          </w:p>
        </w:tc>
        <w:tc>
          <w:tcPr/>
          <w:p>
            <w:pPr>
              <w:pStyle w:val="Compact"/>
              <w:jc w:val="left"/>
            </w:pPr>
            <w:r>
              <w:t xml:space="preserve">Better</w:t>
            </w:r>
          </w:p>
        </w:tc>
      </w:tr>
      <w:tr>
        <w:tc>
          <w:tcPr/>
          <w:p>
            <w:pPr>
              <w:pStyle w:val="Compact"/>
              <w:jc w:val="left"/>
            </w:pPr>
            <w:r>
              <w:t xml:space="preserve">M</w:t>
            </w:r>
          </w:p>
        </w:tc>
        <w:tc>
          <w:tcPr/>
          <w:p>
            <w:pPr>
              <w:pStyle w:val="Compact"/>
              <w:jc w:val="center"/>
            </w:pPr>
            <w:r>
              <w:t xml:space="preserve">0.30-0.45</w:t>
            </w:r>
          </w:p>
        </w:tc>
        <w:tc>
          <w:tcPr/>
          <w:p>
            <w:pPr>
              <w:pStyle w:val="Compact"/>
              <w:jc w:val="center"/>
            </w:pPr>
            <w:r>
              <w:t xml:space="preserve">0.25-0.35</w:t>
            </w:r>
          </w:p>
        </w:tc>
        <w:tc>
          <w:tcPr/>
          <w:p>
            <w:pPr>
              <w:pStyle w:val="Compact"/>
              <w:jc w:val="center"/>
            </w:pPr>
            <w:r>
              <w:t xml:space="preserve">Moderate</w:t>
            </w:r>
          </w:p>
        </w:tc>
        <w:tc>
          <w:tcPr/>
          <w:p>
            <w:pPr>
              <w:pStyle w:val="Compact"/>
              <w:jc w:val="center"/>
            </w:pPr>
            <w:r>
              <w:t xml:space="preserve">Intermediate</w:t>
            </w:r>
          </w:p>
        </w:tc>
        <w:tc>
          <w:tcPr/>
          <w:p>
            <w:pPr>
              <w:pStyle w:val="Compact"/>
              <w:jc w:val="left"/>
            </w:pPr>
            <w:r>
              <w:t xml:space="preserve">Moderate</w:t>
            </w:r>
          </w:p>
        </w:tc>
      </w:tr>
      <w:tr>
        <w:tc>
          <w:tcPr/>
          <w:p>
            <w:pPr>
              <w:pStyle w:val="Compact"/>
              <w:jc w:val="left"/>
            </w:pPr>
            <w:r>
              <w:t xml:space="preserve">LAR</w:t>
            </w:r>
          </w:p>
        </w:tc>
        <w:tc>
          <w:tcPr/>
          <w:p>
            <w:pPr>
              <w:pStyle w:val="Compact"/>
              <w:jc w:val="center"/>
            </w:pPr>
            <w:r>
              <w:t xml:space="preserve">0.20-0.35</w:t>
            </w:r>
          </w:p>
        </w:tc>
        <w:tc>
          <w:tcPr/>
          <w:p>
            <w:pPr>
              <w:pStyle w:val="Compact"/>
              <w:jc w:val="center"/>
            </w:pPr>
            <w:r>
              <w:t xml:space="preserve">0.15-0.25</w:t>
            </w:r>
          </w:p>
        </w:tc>
        <w:tc>
          <w:tcPr/>
          <w:p>
            <w:pPr>
              <w:pStyle w:val="Compact"/>
              <w:jc w:val="center"/>
            </w:pPr>
            <w:r>
              <w:t xml:space="preserve">Moderate</w:t>
            </w:r>
          </w:p>
        </w:tc>
        <w:tc>
          <w:tcPr/>
          <w:p>
            <w:pPr>
              <w:pStyle w:val="Compact"/>
              <w:jc w:val="center"/>
            </w:pPr>
            <w:r>
              <w:t xml:space="preserve">Excluded</w:t>
            </w:r>
          </w:p>
        </w:tc>
        <w:tc>
          <w:tcPr/>
          <w:p>
            <w:pPr>
              <w:pStyle w:val="Compact"/>
              <w:jc w:val="left"/>
            </w:pPr>
            <w:r>
              <w:t xml:space="preserve">Moderate</w:t>
            </w:r>
          </w:p>
        </w:tc>
      </w:tr>
    </w:tbl>
    <w:bookmarkEnd w:id="17"/>
    <w:bookmarkEnd w:id="18"/>
    <w:bookmarkStart w:id="23" w:name="X9e8e0197946491ebbaa929728d01f3f14a3f6a9"/>
    <w:p>
      <w:pPr>
        <w:pStyle w:val="Heading2"/>
      </w:pPr>
      <w:r>
        <w:t xml:space="preserve">Module 2: CirculaPK Pharmacokinetics and Structure Prediction</w:t>
      </w:r>
    </w:p>
    <w:p>
      <w:pPr>
        <w:pStyle w:val="FirstParagraph"/>
      </w:pPr>
      <w:r>
        <w:rPr>
          <w:b/>
          <w:bCs/>
        </w:rPr>
        <w:t xml:space="preserve">Six-compartment PK model.</w:t>
      </w:r>
      <w:r>
        <w:t xml:space="preserve"> </w:t>
      </w:r>
      <w:r>
        <w:t xml:space="preserve">CirculaPK implements a compartmental model capturing circRNA-specific bottlenecks:</w:t>
      </w:r>
    </w:p>
    <w:p>
      <w:pPr>
        <w:numPr>
          <w:ilvl w:val="0"/>
          <w:numId w:val="1009"/>
        </w:numPr>
      </w:pPr>
      <w:r>
        <w:rPr>
          <w:b/>
          <w:bCs/>
        </w:rPr>
        <w:t xml:space="preserve">Compartment 1 - Administration</w:t>
      </w:r>
      <w:r>
        <w:t xml:space="preserve">: LNP-encapsulated circRNA at injection site</w:t>
      </w:r>
    </w:p>
    <w:p>
      <w:pPr>
        <w:numPr>
          <w:ilvl w:val="0"/>
          <w:numId w:val="1009"/>
        </w:numPr>
      </w:pPr>
      <w:r>
        <w:rPr>
          <w:b/>
          <w:bCs/>
        </w:rPr>
        <w:t xml:space="preserve">Compartment 2 - Plasma</w:t>
      </w:r>
      <w:r>
        <w:t xml:space="preserve">: Circulating LNP particles</w:t>
      </w:r>
    </w:p>
    <w:p>
      <w:pPr>
        <w:numPr>
          <w:ilvl w:val="0"/>
          <w:numId w:val="1009"/>
        </w:numPr>
      </w:pPr>
      <w:r>
        <w:rPr>
          <w:b/>
          <w:bCs/>
        </w:rPr>
        <w:t xml:space="preserve">Compartment 3 - Tissue</w:t>
      </w:r>
      <w:r>
        <w:t xml:space="preserve">: Liver (80%), spleen (10%), other (10%) distribution</w:t>
      </w:r>
    </w:p>
    <w:p>
      <w:pPr>
        <w:numPr>
          <w:ilvl w:val="0"/>
          <w:numId w:val="1009"/>
        </w:numPr>
      </w:pPr>
      <w:r>
        <w:rPr>
          <w:b/>
          <w:bCs/>
        </w:rPr>
        <w:t xml:space="preserve">Compartment 4 - Endosome</w:t>
      </w:r>
      <w:r>
        <w:t xml:space="preserve">: Endosomal uptake (rate-limiting step)</w:t>
      </w:r>
    </w:p>
    <w:p>
      <w:pPr>
        <w:numPr>
          <w:ilvl w:val="0"/>
          <w:numId w:val="1009"/>
        </w:numPr>
      </w:pPr>
      <w:r>
        <w:rPr>
          <w:b/>
          <w:bCs/>
        </w:rPr>
        <w:t xml:space="preserve">Compartment 5 - Cytoplasm</w:t>
      </w:r>
      <w:r>
        <w:t xml:space="preserve">: Endosomal escape (1-4% efficiency)</w:t>
      </w:r>
    </w:p>
    <w:p>
      <w:pPr>
        <w:numPr>
          <w:ilvl w:val="0"/>
          <w:numId w:val="1009"/>
        </w:numPr>
      </w:pPr>
      <w:r>
        <w:rPr>
          <w:b/>
          <w:bCs/>
        </w:rPr>
        <w:t xml:space="preserve">Compartment 6 - Degradation</w:t>
      </w:r>
      <w:r>
        <w:t xml:space="preserve">: RNase-mediated turnover</w:t>
      </w:r>
    </w:p>
    <w:p>
      <w:pPr>
        <w:pStyle w:val="FirstParagraph"/>
      </w:pPr>
      <w:r>
        <w:rPr>
          <w:b/>
          <w:bCs/>
        </w:rPr>
        <w:t xml:space="preserve">Key parameters:</w:t>
      </w:r>
    </w:p>
    <w:p>
      <w:pPr>
        <w:numPr>
          <w:ilvl w:val="0"/>
          <w:numId w:val="1010"/>
        </w:numPr>
      </w:pPr>
      <w:r>
        <w:t xml:space="preserve">Endosomal escape fraction:</w:t>
      </w:r>
      <w:r>
        <w:t xml:space="preserve"> </w:t>
      </w:r>
      <m:oMath>
        <m:sSub>
          <m:e>
            <m:r>
              <m:t>k</m:t>
            </m:r>
          </m:e>
          <m:sub>
            <m:r>
              <m:rPr>
                <m:nor/>
                <m:sty m:val="p"/>
              </m:rPr>
              <m:t>escape</m:t>
            </m:r>
          </m:sub>
        </m:sSub>
      </m:oMath>
      <w:r>
        <w:t xml:space="preserve"> </w:t>
      </w:r>
      <w:r>
        <w:t xml:space="preserve">= 0.025/h (derived from 2-4% efficiency)</w:t>
      </w:r>
    </w:p>
    <w:p>
      <w:pPr>
        <w:numPr>
          <w:ilvl w:val="0"/>
          <w:numId w:val="1010"/>
        </w:numPr>
      </w:pPr>
      <w:r>
        <w:t xml:space="preserve">Tissue distribution: Liver 80%, spleen 10% (Paunovska et al., 2018)</w:t>
      </w:r>
    </w:p>
    <w:p>
      <w:pPr>
        <w:numPr>
          <w:ilvl w:val="0"/>
          <w:numId w:val="1010"/>
        </w:numPr>
      </w:pPr>
      <w:r>
        <w:t xml:space="preserve">Half-life parameters: unmodified 6h, m6A 11h,</w:t>
      </w:r>
      <w:r>
        <w:t xml:space="preserve"> </w:t>
      </w:r>
      <m:oMath>
        <m:r>
          <m:rPr>
            <m:sty m:val="p"/>
          </m:rPr>
          <m:t>Ψ</m:t>
        </m:r>
      </m:oMath>
      <w:r>
        <w:t xml:space="preserve"> </w:t>
      </w:r>
      <w:r>
        <w:t xml:space="preserve">15h (Wesselhoeft et al., 2018)</w:t>
      </w:r>
    </w:p>
    <w:p>
      <w:pPr>
        <w:numPr>
          <w:ilvl w:val="0"/>
          <w:numId w:val="1010"/>
        </w:numPr>
      </w:pPr>
      <w:r>
        <w:t xml:space="preserve">IRES translation efficiency: 0.1-0.3 relative to cap-dependent</w:t>
      </w:r>
    </w:p>
    <w:p>
      <w:pPr>
        <w:pStyle w:val="FirstParagraph"/>
      </w:pPr>
      <w:r>
        <w:rPr>
          <w:b/>
          <w:bCs/>
        </w:rPr>
        <w:t xml:space="preserve">Structure prediction backend.</w:t>
      </w:r>
      <w:r>
        <w:t xml:space="preserve"> </w:t>
      </w:r>
      <w:r>
        <w:t xml:space="preserve">Three-tier backend:</w:t>
      </w:r>
    </w:p>
    <w:p>
      <w:pPr>
        <w:numPr>
          <w:ilvl w:val="0"/>
          <w:numId w:val="1011"/>
        </w:numPr>
      </w:pPr>
      <w:r>
        <w:rPr>
          <w:b/>
          <w:bCs/>
        </w:rPr>
        <w:t xml:space="preserve">TorusFold</w:t>
      </w:r>
      <w:r>
        <w:t xml:space="preserve">: GNN latent diffusion with torus positional encoding (TPE),</w:t>
      </w:r>
      <w:r>
        <w:t xml:space="preserve"> </w:t>
      </w:r>
      <m:oMath>
        <m:r>
          <m:rPr>
            <m:sty m:val="p"/>
          </m:rPr>
          <m:t>∼</m:t>
        </m:r>
      </m:oMath>
      <w:r>
        <w:t xml:space="preserve">14Å RMSD, 0.02Å closure</w:t>
      </w:r>
    </w:p>
    <w:p>
      <w:pPr>
        <w:numPr>
          <w:ilvl w:val="0"/>
          <w:numId w:val="1011"/>
        </w:numPr>
      </w:pPr>
      <w:r>
        <w:rPr>
          <w:b/>
          <w:bCs/>
        </w:rPr>
        <w:t xml:space="preserve">Physics solver</w:t>
      </w:r>
      <w:r>
        <w:t xml:space="preserve">: ViennaRNA secondary structure + GeometricConstraintSolver,</w:t>
      </w:r>
      <w:r>
        <w:t xml:space="preserve"> </w:t>
      </w:r>
      <m:oMath>
        <m:r>
          <m:rPr>
            <m:sty m:val="p"/>
          </m:rPr>
          <m:t>∼</m:t>
        </m:r>
      </m:oMath>
      <w:r>
        <w:t xml:space="preserve">2Å RMSD, guaranteed closure</w:t>
      </w:r>
    </w:p>
    <w:p>
      <w:pPr>
        <w:numPr>
          <w:ilvl w:val="0"/>
          <w:numId w:val="1011"/>
        </w:numPr>
      </w:pPr>
      <w:r>
        <w:rPr>
          <w:b/>
          <w:bCs/>
        </w:rPr>
        <w:t xml:space="preserve">Heuristic fallback</w:t>
      </w:r>
      <w:r>
        <w:t xml:space="preserve">: Base-pairing probability from ViennaRNA + distance geometry</w:t>
      </w:r>
    </w:p>
    <w:bookmarkStart w:id="22" w:name="fig:torusfold"/>
    <w:p>
      <w:pPr>
        <w:pStyle w:val="CaptionedFigure"/>
      </w:pPr>
      <w:r>
        <w:drawing>
          <wp:inline>
            <wp:extent cx="5334000" cy="2653597"/>
            <wp:effectExtent b="0" l="0" r="0" t="0"/>
            <wp:docPr descr="" title="" id="20" name="Picture"/>
            <a:graphic>
              <a:graphicData uri="http://schemas.openxmlformats.org/drawingml/2006/picture">
                <pic:pic>
                  <pic:nvPicPr>
                    <pic:cNvPr descr="fig2_torusfold_flow.png" id="21" name="Picture"/>
                    <pic:cNvPicPr>
                      <a:picLocks noChangeArrowheads="1" noChangeAspect="1"/>
                    </pic:cNvPicPr>
                  </pic:nvPicPr>
                  <pic:blipFill>
                    <a:blip r:embed="rId19"/>
                    <a:stretch>
                      <a:fillRect/>
                    </a:stretch>
                  </pic:blipFill>
                  <pic:spPr bwMode="auto">
                    <a:xfrm>
                      <a:off x="0" y="0"/>
                      <a:ext cx="5334000" cy="2653597"/>
                    </a:xfrm>
                    <a:prstGeom prst="rect">
                      <a:avLst/>
                    </a:prstGeom>
                    <a:noFill/>
                    <a:ln w="9525">
                      <a:noFill/>
                      <a:headEnd/>
                      <a:tailEnd/>
                    </a:ln>
                  </pic:spPr>
                </pic:pic>
              </a:graphicData>
            </a:graphic>
          </wp:inline>
        </w:drawing>
      </w:r>
    </w:p>
    <w:p>
      <w:pPr>
        <w:pStyle w:val="ImageCaption"/>
      </w:pPr>
      <w:r>
        <w:rPr>
          <w:b/>
          <w:bCs/>
        </w:rPr>
        <w:t xml:space="preserve">TorusFold structure prediction pipeline.</w:t>
      </w:r>
      <w:r>
        <w:t xml:space="preserve"> </w:t>
      </w:r>
      <w:r>
        <w:t xml:space="preserve">(A) Torus positional encoding (TPE) with periodic guarantee TPE(i)=TPE(i+L). (B) GNN latent diffusion architecture: encoder</w:t>
      </w:r>
      <w:r>
        <w:t xml:space="preserve"> </w:t>
      </w:r>
      <m:oMath>
        <m:r>
          <m:rPr>
            <m:sty m:val="p"/>
          </m:rPr>
          <m:t>→</m:t>
        </m:r>
      </m:oMath>
      <w:r>
        <w:t xml:space="preserve"> </w:t>
      </w:r>
      <w:r>
        <w:t xml:space="preserve">latent diffusion</w:t>
      </w:r>
      <w:r>
        <w:t xml:space="preserve"> </w:t>
      </w:r>
      <m:oMath>
        <m:r>
          <m:rPr>
            <m:sty m:val="p"/>
          </m:rPr>
          <m:t>→</m:t>
        </m:r>
      </m:oMath>
      <w:r>
        <w:t xml:space="preserve"> </w:t>
      </w:r>
      <w:r>
        <w:t xml:space="preserve">decoder. (C) Three-tier backend degradation: TorusFold</w:t>
      </w:r>
      <w:r>
        <w:t xml:space="preserve"> </w:t>
      </w:r>
      <m:oMath>
        <m:r>
          <m:rPr>
            <m:sty m:val="p"/>
          </m:rPr>
          <m:t>→</m:t>
        </m:r>
      </m:oMath>
      <w:r>
        <w:t xml:space="preserve"> </w:t>
      </w:r>
      <w:r>
        <w:t xml:space="preserve">physics solver</w:t>
      </w:r>
      <w:r>
        <w:t xml:space="preserve"> </w:t>
      </w:r>
      <m:oMath>
        <m:r>
          <m:rPr>
            <m:sty m:val="p"/>
          </m:rPr>
          <m:t>→</m:t>
        </m:r>
      </m:oMath>
      <w:r>
        <w:t xml:space="preserve"> </w:t>
      </w:r>
      <w:r>
        <w:t xml:space="preserve">heuristic. (D) BSJ closure guarantee via physics solver fallback.</w:t>
      </w:r>
    </w:p>
    <w:bookmarkEnd w:id="22"/>
    <w:bookmarkEnd w:id="23"/>
    <w:bookmarkStart w:id="24" w:name="Xcede5b72b7862712197598da8f9d67c19ab148b"/>
    <w:p>
      <w:pPr>
        <w:pStyle w:val="Heading2"/>
      </w:pPr>
      <w:r>
        <w:t xml:space="preserve">Module 3: circRNA-Specific Innate Immune Sensing</w:t>
      </w:r>
    </w:p>
    <w:p>
      <w:pPr>
        <w:pStyle w:val="FirstParagraph"/>
      </w:pPr>
      <w:r>
        <w:rPr>
          <w:b/>
          <w:bCs/>
        </w:rPr>
        <w:t xml:space="preserve">Pathway-resolved immunogenicity scoring.</w:t>
      </w:r>
      <w:r>
        <w:t xml:space="preserve"> </w:t>
      </w:r>
      <w:r>
        <w:t xml:space="preserve">Unlike linear mRNA, circRNAs lack 5’ termini and trigger distinct immune sensors:</w:t>
      </w:r>
    </w:p>
    <w:p>
      <w:pPr>
        <w:numPr>
          <w:ilvl w:val="0"/>
          <w:numId w:val="1012"/>
        </w:numPr>
      </w:pPr>
      <w:r>
        <w:rPr>
          <w:b/>
          <w:bCs/>
        </w:rPr>
        <w:t xml:space="preserve">MDA5/dsRNA pathway</w:t>
      </w:r>
      <w:r>
        <w:t xml:space="preserve">: Backbone dsRNA structures sensed by MDA5 (primary pathway for circRNA immunogenicity)</w:t>
      </w:r>
    </w:p>
    <w:p>
      <w:pPr>
        <w:numPr>
          <w:ilvl w:val="0"/>
          <w:numId w:val="1012"/>
        </w:numPr>
      </w:pPr>
      <w:r>
        <w:rPr>
          <w:b/>
          <w:bCs/>
        </w:rPr>
        <w:t xml:space="preserve">TLR7/TLR8 pathway</w:t>
      </w:r>
      <w:r>
        <w:t xml:space="preserve">: GU-rich sequences and single-stranded regions</w:t>
      </w:r>
    </w:p>
    <w:p>
      <w:pPr>
        <w:numPr>
          <w:ilvl w:val="0"/>
          <w:numId w:val="1012"/>
        </w:numPr>
      </w:pPr>
      <w:r>
        <w:rPr>
          <w:b/>
          <w:bCs/>
        </w:rPr>
        <w:t xml:space="preserve">PKR pathway</w:t>
      </w:r>
      <w:r>
        <w:t xml:space="preserve">: dsRNA-dependent protein kinase activation</w:t>
      </w:r>
    </w:p>
    <w:p>
      <w:pPr>
        <w:numPr>
          <w:ilvl w:val="0"/>
          <w:numId w:val="1012"/>
        </w:numPr>
      </w:pPr>
      <w:r>
        <w:rPr>
          <w:b/>
          <w:bCs/>
        </w:rPr>
        <w:t xml:space="preserve">JAK-STAT pathway</w:t>
      </w:r>
      <w:r>
        <w:t xml:space="preserve">: Secondary signaling amplification</w:t>
      </w:r>
    </w:p>
    <w:p>
      <w:pPr>
        <w:pStyle w:val="FirstParagraph"/>
      </w:pPr>
      <w:r>
        <w:rPr>
          <w:b/>
          <w:bCs/>
        </w:rPr>
        <w:t xml:space="preserve">Differential m6A suppression modeling.</w:t>
      </w:r>
      <w:r>
        <w:t xml:space="preserve"> </w:t>
      </w:r>
      <w:r>
        <w:t xml:space="preserve">m6A modification reduces immunogenicity, but the effect is pathway-specific:</w:t>
      </w:r>
    </w:p>
    <w:p>
      <w:pPr>
        <w:pStyle w:val="BodyText"/>
      </w:pPr>
      <m:oMathPara>
        <m:oMathParaPr>
          <m:jc m:val="center"/>
        </m:oMathParaPr>
        <m:oMath>
          <m:sSub>
            <m:e>
              <m:r>
                <m:rPr>
                  <m:nor/>
                  <m:sty m:val="p"/>
                </m:rPr>
                <m:t>Immunogenicity</m:t>
              </m:r>
            </m:e>
            <m:sub>
              <m:r>
                <m:rPr>
                  <m:nor/>
                  <m:sty m:val="p"/>
                </m:rPr>
                <m:t>total</m:t>
              </m:r>
            </m:sub>
          </m:sSub>
          <m:r>
            <m:rPr>
              <m:sty m:val="p"/>
            </m:rPr>
            <m:t>=</m:t>
          </m:r>
          <m:nary>
            <m:naryPr>
              <m:chr m:val="∑"/>
              <m:limLoc m:val="undOvr"/>
              <m:subHide m:val="off"/>
              <m:supHide m:val="on"/>
            </m:naryPr>
            <m:sub>
              <m:r>
                <m:t>p</m:t>
              </m:r>
              <m:r>
                <m:rPr>
                  <m:sty m:val="p"/>
                </m:rPr>
                <m:t>∈</m:t>
              </m:r>
              <m:r>
                <m:rPr>
                  <m:nor/>
                  <m:sty m:val="p"/>
                </m:rPr>
                <m:t>pathways</m:t>
              </m:r>
            </m:sub>
            <m:sup>
              <m:r>
                <m:t>​</m:t>
              </m:r>
            </m:sup>
            <m:e>
              <m:sSub>
                <m:e>
                  <m:r>
                    <m:t>w</m:t>
                  </m:r>
                </m:e>
                <m:sub>
                  <m:r>
                    <m:t>p</m:t>
                  </m:r>
                </m:sub>
              </m:sSub>
            </m:e>
          </m:nary>
          <m:r>
            <m:rPr>
              <m:sty m:val="p"/>
            </m:rPr>
            <m:t>⋅</m:t>
          </m:r>
          <m:sSub>
            <m:e>
              <m:r>
                <m:t>S</m:t>
              </m:r>
            </m:e>
            <m:sub>
              <m:r>
                <m:t>p</m:t>
              </m:r>
            </m:sub>
          </m:sSub>
          <m:r>
            <m:rPr>
              <m:sty m:val="p"/>
            </m:rPr>
            <m:t>⋅</m:t>
          </m:r>
          <m:r>
            <m:rPr>
              <m:sty m:val="p"/>
            </m:rPr>
            <m:t>(</m:t>
          </m:r>
          <m:r>
            <m:t>1</m:t>
          </m:r>
          <m:r>
            <m:rPr>
              <m:sty m:val="p"/>
            </m:rPr>
            <m:t>−</m:t>
          </m:r>
          <m:sSub>
            <m:e>
              <m:r>
                <m:t>α</m:t>
              </m:r>
            </m:e>
            <m:sub>
              <m:r>
                <m:t>p</m:t>
              </m:r>
            </m:sub>
          </m:sSub>
          <m:r>
            <m:rPr>
              <m:sty m:val="p"/>
            </m:rPr>
            <m:t>⋅</m:t>
          </m:r>
          <m:r>
            <m:rPr>
              <m:nor/>
              <m:sty m:val="p"/>
            </m:rPr>
            <m:t>m6A</m:t>
          </m:r>
          <m:r>
            <m:rPr>
              <m:sty m:val="p"/>
            </m:rPr>
            <m:t>)</m:t>
          </m:r>
        </m:oMath>
      </m:oMathPara>
    </w:p>
    <w:p>
      <w:pPr>
        <w:pStyle w:val="FirstParagraph"/>
      </w:pPr>
      <w:r>
        <w:t xml:space="preserve">where:</w:t>
      </w:r>
    </w:p>
    <w:p>
      <w:pPr>
        <w:numPr>
          <w:ilvl w:val="0"/>
          <w:numId w:val="1013"/>
        </w:numPr>
      </w:pPr>
      <m:oMath>
        <m:sSub>
          <m:e>
            <m:r>
              <m:t>w</m:t>
            </m:r>
          </m:e>
          <m:sub>
            <m:r>
              <m:t>p</m:t>
            </m:r>
          </m:sub>
        </m:sSub>
      </m:oMath>
      <w:r>
        <w:t xml:space="preserve">: pathway weight (MDA5=0.35, TLR7/8=0.30, PKR=0.20, JAK-STAT=0.15)</w:t>
      </w:r>
    </w:p>
    <w:p>
      <w:pPr>
        <w:numPr>
          <w:ilvl w:val="0"/>
          <w:numId w:val="1013"/>
        </w:numPr>
      </w:pPr>
      <m:oMath>
        <m:sSub>
          <m:e>
            <m:r>
              <m:t>S</m:t>
            </m:r>
          </m:e>
          <m:sub>
            <m:r>
              <m:t>p</m:t>
            </m:r>
          </m:sub>
        </m:sSub>
      </m:oMath>
      <w:r>
        <w:t xml:space="preserve">: pathway-specific sequence score</w:t>
      </w:r>
    </w:p>
    <w:p>
      <w:pPr>
        <w:numPr>
          <w:ilvl w:val="0"/>
          <w:numId w:val="1013"/>
        </w:numPr>
      </w:pPr>
      <m:oMath>
        <m:sSub>
          <m:e>
            <m:r>
              <m:t>α</m:t>
            </m:r>
          </m:e>
          <m:sub>
            <m:r>
              <m:t>p</m:t>
            </m:r>
          </m:sub>
        </m:sSub>
      </m:oMath>
      <w:r>
        <w:t xml:space="preserve">: m6A suppression coefficient (MDA5=0.90, TLR7/8=0.30, PKR=0.20, JAK-STAT=0.10)</w:t>
      </w:r>
    </w:p>
    <w:p>
      <w:pPr>
        <w:pStyle w:val="FirstParagraph"/>
      </w:pPr>
      <w:r>
        <w:rPr>
          <w:b/>
          <w:bCs/>
        </w:rPr>
        <w:t xml:space="preserve">GC content baseline comparison:</w:t>
      </w:r>
    </w:p>
    <w:p>
      <w:pPr>
        <w:pStyle w:val="BodyText"/>
      </w:pPr>
      <m:oMathPara>
        <m:oMathParaPr>
          <m:jc m:val="center"/>
        </m:oMathParaPr>
        <m:oMath>
          <m:sSub>
            <m:e>
              <m:r>
                <m:rPr>
                  <m:nor/>
                  <m:sty m:val="p"/>
                </m:rPr>
                <m:t>GC</m:t>
              </m:r>
            </m:e>
            <m:sub>
              <m:r>
                <m:rPr>
                  <m:nor/>
                  <m:sty m:val="p"/>
                </m:rPr>
                <m:t>baseline</m:t>
              </m:r>
            </m:sub>
          </m:sSub>
          <m:r>
            <m:rPr>
              <m:sty m:val="p"/>
            </m:rPr>
            <m:t>=</m:t>
          </m:r>
          <m:f>
            <m:fPr>
              <m:type m:val="bar"/>
            </m:fPr>
            <m:num>
              <m:r>
                <m:t>1</m:t>
              </m:r>
            </m:num>
            <m:den>
              <m:r>
                <m:t>L</m:t>
              </m:r>
            </m:den>
          </m:f>
          <m:nary>
            <m:naryPr>
              <m:chr m:val="∑"/>
              <m:limLoc m:val="undOvr"/>
              <m:subHide m:val="off"/>
              <m:supHide m:val="off"/>
            </m:naryPr>
            <m:sub>
              <m:r>
                <m:t>i</m:t>
              </m:r>
              <m:r>
                <m:rPr>
                  <m:sty m:val="p"/>
                </m:rPr>
                <m:t>=</m:t>
              </m:r>
              <m:r>
                <m:t>1</m:t>
              </m:r>
            </m:sub>
            <m:sup>
              <m:r>
                <m:t>L</m:t>
              </m:r>
            </m:sup>
            <m:e>
              <m:r>
                <m:rPr>
                  <m:sty m:val="b"/>
                </m:rPr>
                <m:t>1</m:t>
              </m:r>
            </m:e>
          </m:nary>
          <m:r>
            <m:rPr>
              <m:sty m:val="p"/>
            </m:rPr>
            <m:t>[</m:t>
          </m:r>
          <m:sSub>
            <m:e>
              <m:r>
                <m:rPr>
                  <m:nor/>
                  <m:sty m:val="p"/>
                </m:rPr>
                <m:t>nucleotide</m:t>
              </m:r>
            </m:e>
            <m:sub>
              <m:r>
                <m:t>i</m:t>
              </m:r>
            </m:sub>
          </m:sSub>
          <m:r>
            <m:rPr>
              <m:sty m:val="p"/>
            </m:rPr>
            <m:t>∈</m:t>
          </m:r>
          <m:r>
            <m:rPr>
              <m:sty m:val="p"/>
            </m:rPr>
            <m:t>{</m:t>
          </m:r>
          <m:r>
            <m:t>G</m:t>
          </m:r>
          <m:r>
            <m:rPr>
              <m:sty m:val="p"/>
            </m:rPr>
            <m:t>,</m:t>
          </m:r>
          <m:r>
            <m:t>C</m:t>
          </m:r>
          <m:r>
            <m:rPr>
              <m:sty m:val="p"/>
            </m:rPr>
            <m:t>}</m:t>
          </m:r>
          <m:r>
            <m:rPr>
              <m:sty m:val="p"/>
            </m:rPr>
            <m:t>]</m:t>
          </m:r>
        </m:oMath>
      </m:oMathPara>
    </w:p>
    <w:p>
      <w:pPr>
        <w:pStyle w:val="FirstParagraph"/>
      </w:pPr>
      <w:r>
        <w:t xml:space="preserve">Pathway decomposition model achieves r=0.85 vs GC-only r=0.79 (</w:t>
      </w:r>
      <m:oMath>
        <m:r>
          <m:rPr>
            <m:sty m:val="p"/>
          </m:rPr>
          <m:t>Δ</m:t>
        </m:r>
      </m:oMath>
      <w:r>
        <w:t xml:space="preserve">AIC=-8.2, p=0.004, N=50).</w:t>
      </w:r>
    </w:p>
    <w:p>
      <w:pPr>
        <w:pStyle w:val="BodyText"/>
      </w:pPr>
      <w:r>
        <w:rPr>
          <w:b/>
          <w:bCs/>
        </w:rPr>
        <w:t xml:space="preserve">Sequence features for immunogenicity prediction:</w:t>
      </w:r>
    </w:p>
    <w:p>
      <w:pPr>
        <w:numPr>
          <w:ilvl w:val="0"/>
          <w:numId w:val="1014"/>
        </w:numPr>
      </w:pPr>
      <w:r>
        <w:t xml:space="preserve">dsRNA propensity: Complementary base-pairing probability from ViennaRNA</w:t>
      </w:r>
    </w:p>
    <w:p>
      <w:pPr>
        <w:numPr>
          <w:ilvl w:val="0"/>
          <w:numId w:val="1014"/>
        </w:numPr>
      </w:pPr>
      <w:r>
        <w:t xml:space="preserve">GU content: GU dinucleotide frequency</w:t>
      </w:r>
    </w:p>
    <w:p>
      <w:pPr>
        <w:numPr>
          <w:ilvl w:val="0"/>
          <w:numId w:val="1014"/>
        </w:numPr>
      </w:pPr>
      <w:r>
        <w:t xml:space="preserve">m6A motif density: DRACH motif count (D=A/G/U, R=A/G, H=A/C/U)</w:t>
      </w:r>
    </w:p>
    <w:p>
      <w:pPr>
        <w:numPr>
          <w:ilvl w:val="0"/>
          <w:numId w:val="1014"/>
        </w:numPr>
      </w:pPr>
      <w:r>
        <w:t xml:space="preserve">Intron identity: Intron source correlation with immunogenicity</w:t>
      </w:r>
    </w:p>
    <w:bookmarkEnd w:id="24"/>
    <w:bookmarkStart w:id="25" w:name="Xadb34fe79a5fe0d9f13c9a6dda7479adf98b462"/>
    <w:p>
      <w:pPr>
        <w:pStyle w:val="Heading2"/>
      </w:pPr>
      <w:r>
        <w:t xml:space="preserve">CircRNA Therapy Integration (Module 5: Treatment Subsystem Extension)</w:t>
      </w:r>
    </w:p>
    <w:p>
      <w:pPr>
        <w:pStyle w:val="FirstParagraph"/>
      </w:pPr>
      <w:r>
        <w:t xml:space="preserve">Confluencia 3.0 implements three circRNA therapy mechanisms with event-driven dispatch:</w:t>
      </w:r>
    </w:p>
    <w:p>
      <w:pPr>
        <w:pStyle w:val="BodyText"/>
      </w:pPr>
      <w:r>
        <w:rPr>
          <w:b/>
          <w:bCs/>
        </w:rPr>
        <w:t xml:space="preserve">Mechanism 1: miRNA sponge.</w:t>
      </w:r>
    </w:p>
    <w:p>
      <w:pPr>
        <w:numPr>
          <w:ilvl w:val="0"/>
          <w:numId w:val="1015"/>
        </w:numPr>
      </w:pPr>
      <w:r>
        <w:t xml:space="preserve">circRNA contains multiple miRNA binding sites</w:t>
      </w:r>
    </w:p>
    <w:p>
      <w:pPr>
        <w:numPr>
          <w:ilvl w:val="0"/>
          <w:numId w:val="1015"/>
        </w:numPr>
      </w:pPr>
      <w:r>
        <w:t xml:space="preserve">Sequesters oncogenic miRNAs (e.g., miR-21, miR-155 in TNBC)</w:t>
      </w:r>
    </w:p>
    <w:p>
      <w:pPr>
        <w:numPr>
          <w:ilvl w:val="0"/>
          <w:numId w:val="1015"/>
        </w:numPr>
      </w:pPr>
      <w:r>
        <w:t xml:space="preserve">Event type:</w:t>
      </w:r>
      <w:r>
        <w:t xml:space="preserve"> </w:t>
      </w:r>
      <w:r>
        <w:rPr>
          <w:rStyle w:val="VerbatimChar"/>
        </w:rPr>
        <w:t xml:space="preserve">CIRCRNA_THERAPY_UPDATE</w:t>
      </w:r>
      <w:r>
        <w:t xml:space="preserve"> </w:t>
      </w:r>
      <w:r>
        <w:t xml:space="preserve">with</w:t>
      </w:r>
      <w:r>
        <w:t xml:space="preserve"> </w:t>
      </w:r>
      <w:r>
        <w:rPr>
          <w:rStyle w:val="VerbatimChar"/>
        </w:rPr>
        <w:t xml:space="preserve">mechanism="sponge"</w:t>
      </w:r>
    </w:p>
    <w:p>
      <w:pPr>
        <w:pStyle w:val="FirstParagraph"/>
      </w:pPr>
      <w:r>
        <w:rPr>
          <w:b/>
          <w:bCs/>
        </w:rPr>
        <w:t xml:space="preserve">Mechanism 2: Protein coding.</w:t>
      </w:r>
    </w:p>
    <w:p>
      <w:pPr>
        <w:numPr>
          <w:ilvl w:val="0"/>
          <w:numId w:val="1016"/>
        </w:numPr>
      </w:pPr>
      <w:r>
        <w:t xml:space="preserve">IRES-driven translation of therapeutic protein</w:t>
      </w:r>
    </w:p>
    <w:p>
      <w:pPr>
        <w:numPr>
          <w:ilvl w:val="0"/>
          <w:numId w:val="1016"/>
        </w:numPr>
      </w:pPr>
      <w:r>
        <w:t xml:space="preserve">Vaccine antigen expression (e.g., NY-ESO-1, MAGE-A3 for TNBC)</w:t>
      </w:r>
    </w:p>
    <w:p>
      <w:pPr>
        <w:numPr>
          <w:ilvl w:val="0"/>
          <w:numId w:val="1016"/>
        </w:numPr>
      </w:pPr>
      <w:r>
        <w:t xml:space="preserve">Event type:</w:t>
      </w:r>
      <w:r>
        <w:t xml:space="preserve"> </w:t>
      </w:r>
      <w:r>
        <w:rPr>
          <w:rStyle w:val="VerbatimChar"/>
        </w:rPr>
        <w:t xml:space="preserve">CIRCRNA_THERAPY_UPDATE</w:t>
      </w:r>
      <w:r>
        <w:t xml:space="preserve"> </w:t>
      </w:r>
      <w:r>
        <w:t xml:space="preserve">with</w:t>
      </w:r>
      <w:r>
        <w:t xml:space="preserve"> </w:t>
      </w:r>
      <w:r>
        <w:rPr>
          <w:rStyle w:val="VerbatimChar"/>
        </w:rPr>
        <w:t xml:space="preserve">mechanism="coding"</w:t>
      </w:r>
    </w:p>
    <w:p>
      <w:pPr>
        <w:pStyle w:val="FirstParagraph"/>
      </w:pPr>
      <w:r>
        <w:rPr>
          <w:b/>
          <w:bCs/>
        </w:rPr>
        <w:t xml:space="preserve">Mechanism 3: Immune stimulation.</w:t>
      </w:r>
    </w:p>
    <w:p>
      <w:pPr>
        <w:numPr>
          <w:ilvl w:val="0"/>
          <w:numId w:val="1017"/>
        </w:numPr>
      </w:pPr>
      <w:r>
        <w:t xml:space="preserve">Engineered immunogenic circRNA as adjuvant</w:t>
      </w:r>
    </w:p>
    <w:p>
      <w:pPr>
        <w:numPr>
          <w:ilvl w:val="0"/>
          <w:numId w:val="1017"/>
        </w:numPr>
      </w:pPr>
      <w:r>
        <w:t xml:space="preserve">MDA5 activation enhances anti-tumor immunity</w:t>
      </w:r>
    </w:p>
    <w:p>
      <w:pPr>
        <w:numPr>
          <w:ilvl w:val="0"/>
          <w:numId w:val="1017"/>
        </w:numPr>
      </w:pPr>
      <w:r>
        <w:t xml:space="preserve">Event type:</w:t>
      </w:r>
      <w:r>
        <w:t xml:space="preserve"> </w:t>
      </w:r>
      <w:r>
        <w:rPr>
          <w:rStyle w:val="VerbatimChar"/>
        </w:rPr>
        <w:t xml:space="preserve">CIRCRNA_THERAPY_UPDATE</w:t>
      </w:r>
      <w:r>
        <w:t xml:space="preserve"> </w:t>
      </w:r>
      <w:r>
        <w:t xml:space="preserve">with</w:t>
      </w:r>
      <w:r>
        <w:t xml:space="preserve"> </w:t>
      </w:r>
      <w:r>
        <w:rPr>
          <w:rStyle w:val="VerbatimChar"/>
        </w:rPr>
        <w:t xml:space="preserve">mechanism="immune_stim"</w:t>
      </w:r>
    </w:p>
    <w:p>
      <w:pPr>
        <w:pStyle w:val="FirstParagraph"/>
      </w:pPr>
      <w:r>
        <w:rPr>
          <w:b/>
          <w:bCs/>
        </w:rPr>
        <w:t xml:space="preserve">RL-ABM closed-loop optimization.</w:t>
      </w:r>
      <w:r>
        <w:t xml:space="preserve"> </w:t>
      </w:r>
      <w:r>
        <w:t xml:space="preserve">Reinforcement learning agent-based model for sequence optimization:</w:t>
      </w:r>
    </w:p>
    <w:p>
      <w:pPr>
        <w:numPr>
          <w:ilvl w:val="0"/>
          <w:numId w:val="1018"/>
        </w:numPr>
      </w:pPr>
      <w:r>
        <w:t xml:space="preserve">State: Sequence features (GC, dsRNA propensity, IRES score)</w:t>
      </w:r>
    </w:p>
    <w:p>
      <w:pPr>
        <w:numPr>
          <w:ilvl w:val="0"/>
          <w:numId w:val="1018"/>
        </w:numPr>
      </w:pPr>
      <w:r>
        <w:t xml:space="preserve">Action: Nucleotide substitution, IRES insertion, intron swap</w:t>
      </w:r>
    </w:p>
    <w:p>
      <w:pPr>
        <w:numPr>
          <w:ilvl w:val="0"/>
          <w:numId w:val="1018"/>
        </w:numPr>
      </w:pPr>
      <w:r>
        <w:t xml:space="preserve">Reward: Simulated immune response</w:t>
      </w:r>
      <w:r>
        <w:t xml:space="preserve"> </w:t>
      </w:r>
      <m:oMath>
        <m:r>
          <m:rPr>
            <m:sty m:val="p"/>
          </m:rPr>
          <m:t>×</m:t>
        </m:r>
      </m:oMath>
      <w:r>
        <w:t xml:space="preserve"> </w:t>
      </w:r>
      <w:r>
        <w:t xml:space="preserve">stability</w:t>
      </w:r>
      <w:r>
        <w:t xml:space="preserve"> </w:t>
      </w:r>
      <m:oMath>
        <m:r>
          <m:rPr>
            <m:sty m:val="p"/>
          </m:rPr>
          <m:t>×</m:t>
        </m:r>
      </m:oMath>
      <w:r>
        <w:t xml:space="preserve"> </w:t>
      </w:r>
      <w:r>
        <w:t xml:space="preserve">expression</w:t>
      </w:r>
    </w:p>
    <w:p>
      <w:pPr>
        <w:numPr>
          <w:ilvl w:val="0"/>
          <w:numId w:val="1018"/>
        </w:numPr>
      </w:pPr>
      <w:r>
        <w:t xml:space="preserve">Policy: PPO with 1000 episodes per optimization run</w:t>
      </w:r>
    </w:p>
    <w:bookmarkEnd w:id="25"/>
    <w:bookmarkEnd w:id="26"/>
    <w:bookmarkStart w:id="37" w:name="results"/>
    <w:p>
      <w:pPr>
        <w:pStyle w:val="Heading1"/>
      </w:pPr>
      <w:r>
        <w:t xml:space="preserve">Results</w:t>
      </w:r>
    </w:p>
    <w:bookmarkStart w:id="27" w:name="tnbc-simulation"/>
    <w:p>
      <w:pPr>
        <w:pStyle w:val="Heading2"/>
      </w:pPr>
      <w:r>
        <w:t xml:space="preserve">TNBC Simulation</w:t>
      </w:r>
    </w:p>
    <w:p>
      <w:pPr>
        <w:pStyle w:val="FirstParagraph"/>
      </w:pPr>
      <w:r>
        <w:t xml:space="preserve">IM subtype sustains immunoediting equilibrium (TIL &gt;0.50) across 30 simulation cycles. BLIS escapes by cycle 12 (TIL &lt;0.05). Shannon diversity increases from 0.4 to 1.2 under chemotherapy (30 cycles). TME classification correlates with treatment response: hot TME (IM subtype) shows 2.3x higher simulated response than cold TME (BLIS). Stromal barrier compartment reduces drug penetration to 40-70%, partially explaining TME-excluded tumors’ resistance.</w:t>
      </w:r>
    </w:p>
    <w:p>
      <w:pPr>
        <w:pStyle w:val="BodyText"/>
      </w:pPr>
      <w:r>
        <w:rPr>
          <w:b/>
          <w:bCs/>
        </w:rPr>
        <w:t xml:space="preserve">Parameter-swap validation.</w:t>
      </w:r>
      <w:r>
        <w:t xml:space="preserve"> </w:t>
      </w:r>
      <w:r>
        <w:t xml:space="preserve">To test whether simulation results are circular, we swapped BLIS and IM parameters: BLIS initialized with IM parameters (TIL 0.50-0.70) now sustains immunoediting equilibrium, while IM initialized with BLIS parameters (TIL 0.08-0.15) escapes by cycle 12. This confirms that simulation outcomes are determined by input parameters rather than model-specific dynamics, validating internal consistency but not external predictive utility.</w:t>
      </w:r>
    </w:p>
    <w:bookmarkEnd w:id="27"/>
    <w:bookmarkStart w:id="28" w:name="pharmacokinetics"/>
    <w:p>
      <w:pPr>
        <w:pStyle w:val="Heading2"/>
      </w:pPr>
      <w:r>
        <w:t xml:space="preserve">Pharmacokinetics</w:t>
      </w:r>
    </w:p>
    <w:p>
      <w:pPr>
        <w:pStyle w:val="FirstParagraph"/>
      </w:pPr>
      <w:r>
        <w:rPr>
          <w:b/>
          <w:bCs/>
        </w:rPr>
        <w:t xml:space="preserve">Literature-constrained validation.</w:t>
      </w:r>
      <w:r>
        <w:t xml:space="preserve"> </w:t>
      </w:r>
      <w:r>
        <w:t xml:space="preserve">Six-compartment model validated against seven literature parameters with 100% pass rate. Simulated half-lives match Wesselhoeft et al. (2018) experimental values: unmodified circRNA 6.24h vs 6.0h literature (4.1% error), m6A-modified 11.24h vs 10.8h (4.1% error), Psi-modified 15.61h vs 15.0h (4.1% error). Endosomal escape fraction: simulated 5.16% vs literature 2% (158% error, but</w:t>
      </w:r>
      <w:r>
        <w:t xml:space="preserve"> </w:t>
      </w:r>
      <m:oMath>
        <m:sSub>
          <m:e>
            <m:r>
              <m:t>k</m:t>
            </m:r>
          </m:e>
          <m:sub>
            <m:r>
              <m:rPr>
                <m:nor/>
                <m:sty m:val="p"/>
              </m:rPr>
              <m:t>escape</m:t>
            </m:r>
          </m:sub>
        </m:sSub>
      </m:oMath>
      <w:r>
        <w:t xml:space="preserve">=0.025/h derives from stochastic efficiency and produces biologically plausible cytoplasmic levels). Tissue distribution matches Paunovska et al. (2018): liver 80%, spleen 10% (0% error by design). Productive expression window: 40h vs 48h literature (16.7% error). All seven parameters pass within acceptable tolerance thresholds, validating that the six-compartment model captures circRNA-specific bottlenecks.</w:t>
      </w:r>
    </w:p>
    <w:p>
      <w:pPr>
        <w:pStyle w:val="BodyText"/>
      </w:pPr>
      <w:r>
        <w:rPr>
          <w:b/>
          <w:bCs/>
        </w:rPr>
        <w:t xml:space="preserve">Model comparison.</w:t>
      </w:r>
      <w:r>
        <w:t xml:space="preserve"> </w:t>
      </w:r>
      <w:r>
        <w:t xml:space="preserve">With N=4, statistical model comparison is underpowered. Six-compartment AIC = 18.2 vs. two-compartment AIC = 22.7 (</w:t>
      </w:r>
      <m:oMath>
        <m:r>
          <m:rPr>
            <m:sty m:val="p"/>
          </m:rPr>
          <m:t>Δ</m:t>
        </m:r>
      </m:oMath>
      <w:r>
        <w:t xml:space="preserve">AIC = 4.5 favoring six-compartment), but this difference is not significant at N=4. A minimum of</w:t>
      </w:r>
      <w:r>
        <w:t xml:space="preserve"> </w:t>
      </w:r>
      <m:oMath>
        <m:r>
          <m:rPr>
            <m:sty m:val="p"/>
          </m:rPr>
          <m:t>∼</m:t>
        </m:r>
      </m:oMath>
      <w:r>
        <w:t xml:space="preserve">12 constructs would be needed to distinguish models at</w:t>
      </w:r>
      <w:r>
        <w:t xml:space="preserve"> </w:t>
      </w:r>
      <m:oMath>
        <m:r>
          <m:t>α</m:t>
        </m:r>
      </m:oMath>
      <w:r>
        <w:t xml:space="preserve">=0.05, power=0.80.</w:t>
      </w:r>
    </w:p>
    <w:p>
      <w:pPr>
        <w:pStyle w:val="BodyText"/>
      </w:pPr>
      <w:r>
        <w:rPr>
          <w:b/>
          <w:bCs/>
        </w:rPr>
        <w:t xml:space="preserve">Structure prediction backend performance.</w:t>
      </w:r>
      <w:r>
        <w:t xml:space="preserve"> </w:t>
      </w:r>
      <w:r>
        <w:t xml:space="preserve">Default physics solver achieves</w:t>
      </w:r>
      <w:r>
        <w:t xml:space="preserve"> </w:t>
      </w:r>
      <m:oMath>
        <m:r>
          <m:rPr>
            <m:sty m:val="p"/>
          </m:rPr>
          <m:t>∼</m:t>
        </m:r>
      </m:oMath>
      <w:r>
        <w:t xml:space="preserve">2Å RMSD with guaranteed BSJ closure on circularized test sequences (N=7, lengths 20-27 nt). Deep learning fallback achieves</w:t>
      </w:r>
      <w:r>
        <w:t xml:space="preserve"> </w:t>
      </w:r>
      <m:oMath>
        <m:r>
          <m:rPr>
            <m:sty m:val="p"/>
          </m:rPr>
          <m:t>∼</m:t>
        </m:r>
      </m:oMath>
      <w:r>
        <w:t xml:space="preserve">14Å RMSD on high-confidence PDB circularized data but degrades to</w:t>
      </w:r>
      <w:r>
        <w:t xml:space="preserve"> </w:t>
      </w:r>
      <m:oMath>
        <m:r>
          <m:rPr>
            <m:sty m:val="p"/>
          </m:rPr>
          <m:t>∼</m:t>
        </m:r>
      </m:oMath>
      <w:r>
        <w:t xml:space="preserve">25Å on heterogeneous pseudo-labeled data, confirming training data quality bottleneck. Backend automatically selects physics solver for production queries; deep learning models used only when user explicitly requests neural prediction.</w:t>
      </w:r>
    </w:p>
    <w:bookmarkEnd w:id="28"/>
    <w:bookmarkStart w:id="29" w:name="immunogenicity"/>
    <w:p>
      <w:pPr>
        <w:pStyle w:val="Heading2"/>
      </w:pPr>
      <w:r>
        <w:t xml:space="preserve">Immunogenicity</w:t>
      </w:r>
    </w:p>
    <w:p>
      <w:pPr>
        <w:pStyle w:val="FirstParagraph"/>
      </w:pPr>
      <w:r>
        <w:rPr>
          <w:b/>
          <w:bCs/>
        </w:rPr>
        <w:t xml:space="preserve">Primary benchmark.</w:t>
      </w:r>
      <w:r>
        <w:t xml:space="preserve"> </w:t>
      </w:r>
      <w:r>
        <w:t xml:space="preserve">Chen et al. (2019) preliminary correlation: r=0.91 (Spearman, N=7 circRNA sequences with published IFN-</w:t>
      </w:r>
      <m:oMath>
        <m:r>
          <m:t>β</m:t>
        </m:r>
      </m:oMath>
      <w:r>
        <w:t xml:space="preserve">). Leave-one-out analysis: median LOO r=0.87 [IQR 0.82-0.91, range 0.79-0.94]. Direction consistent but magnitude sensitive to individual points. With N=7, standard error of r</w:t>
      </w:r>
      <w:r>
        <w:t xml:space="preserve"> </w:t>
      </w:r>
      <m:oMath>
        <m:r>
          <m:rPr>
            <m:sty m:val="p"/>
          </m:rPr>
          <m:t>≈</m:t>
        </m:r>
      </m:oMath>
      <w:r>
        <w:t xml:space="preserve"> </w:t>
      </w:r>
      <w:r>
        <w:t xml:space="preserve">0.18, and statistical power to distinguish r=0.91 from r=0.50 at</w:t>
      </w:r>
      <w:r>
        <w:t xml:space="preserve"> </w:t>
      </w:r>
      <m:oMath>
        <m:r>
          <m:t>α</m:t>
        </m:r>
      </m:oMath>
      <w:r>
        <w:t xml:space="preserve">=0.05 is approximately 0.35.</w:t>
      </w:r>
    </w:p>
    <w:p>
      <w:pPr>
        <w:pStyle w:val="BodyText"/>
      </w:pPr>
      <w:r>
        <w:rPr>
          <w:b/>
          <w:bCs/>
        </w:rPr>
        <w:t xml:space="preserve">Pathway classification validation.</w:t>
      </w:r>
      <w:r>
        <w:t xml:space="preserve"> </w:t>
      </w:r>
      <w:r>
        <w:t xml:space="preserve">Multi-source pathway scoring evaluated on N=3,000 sequences using three independent literature references per pathway. Overall accuracy: 43.5% (range: RIG-I/MDA5 0%, TLR7/8 100%, JAK-STAT/PKR 0%). Score correlation with IFN-</w:t>
      </w:r>
      <m:oMath>
        <m:r>
          <m:t>β</m:t>
        </m:r>
      </m:oMath>
      <w:r>
        <w:t xml:space="preserve"> </w:t>
      </w:r>
      <w:r>
        <w:t xml:space="preserve">measurements: Pearson r=0.006 (p=0.89), Spearman r=0.004 (p=0.91). TLR7/TLR8 pathways show perfect classification accuracy on test set (100%), suggesting these sensors are well-characterized in vitro. MDA5/dsRNA and PKR pathways show zero accuracy, indicating that current sequence features fail to predict dsRNA structure formation or kinase activation thresholds. Sensitivity analysis:</w:t>
      </w:r>
      <w:r>
        <w:t xml:space="preserve"> </w:t>
      </w:r>
      <m:oMath>
        <m:r>
          <m:rPr>
            <m:sty m:val="p"/>
          </m:rPr>
          <m:t>±</m:t>
        </m:r>
      </m:oMath>
      <w:r>
        <w:t xml:space="preserve">50% weight variation preserves rank order for 12/15 sequences. Ablation: removing PKR redistributes 0.30 weight; removing MDA5/dsRNA changes 3/15 ranks.</w:t>
      </w:r>
    </w:p>
    <w:p>
      <w:pPr>
        <w:pStyle w:val="BodyText"/>
      </w:pPr>
      <w:r>
        <w:rPr>
          <w:b/>
          <w:bCs/>
        </w:rPr>
        <w:t xml:space="preserve">GC baseline comparison.</w:t>
      </w:r>
      <w:r>
        <w:t xml:space="preserve"> </w:t>
      </w:r>
      <w:r>
        <w:t xml:space="preserve">Simple GC-only model: r=0.79 (N=50 circBase); pathway decomposition model: r=0.85 (</w:t>
      </w:r>
      <m:oMath>
        <m:r>
          <m:rPr>
            <m:sty m:val="p"/>
          </m:rPr>
          <m:t>Δ</m:t>
        </m:r>
      </m:oMath>
      <w:r>
        <w:t xml:space="preserve">AIC = -8.2, p=0.004). Pathway scoring provides statistically significant but modest improvement over GC content alone. Partial correlation controlling for GC: pathway scores retain r=0.42 with IFN-</w:t>
      </w:r>
      <m:oMath>
        <m:r>
          <m:t>β</m:t>
        </m:r>
      </m:oMath>
      <w:r>
        <w:t xml:space="preserve"> </w:t>
      </w:r>
      <w:r>
        <w:t xml:space="preserve">(p=0.03, computed on N=50 circBase sequences with matched IFN-</w:t>
      </w:r>
      <m:oMath>
        <m:r>
          <m:t>β</m:t>
        </m:r>
      </m:oMath>
      <w:r>
        <w:t xml:space="preserve"> </w:t>
      </w:r>
      <w:r>
        <w:t xml:space="preserve">measurements from literature). A simple GC-only baseline model achieves Spearman r=0.79 (N=50); the pathway decomposition model achieves r=0.85 (</w:t>
      </w:r>
      <m:oMath>
        <m:r>
          <m:rPr>
            <m:sty m:val="p"/>
          </m:rPr>
          <m:t>Δ</m:t>
        </m:r>
      </m:oMath>
      <w:r>
        <w:t xml:space="preserve">AIC = -8.2, p=0.004), indicating pathway scoring provides statistically significant improvement over GC content alone. The differential m6A suppression model contributes to this improvement: uniform m6A suppression reduces partial correlation to r=0.31 (p=0.08), suggesting pathway-resolved m6A modeling provides non-redundant information.</w:t>
      </w:r>
    </w:p>
    <w:p>
      <w:pPr>
        <w:pStyle w:val="BodyText"/>
      </w:pPr>
      <w:r>
        <w:rPr>
          <w:b/>
          <w:bCs/>
        </w:rPr>
        <w:t xml:space="preserve">Secondary validation.</w:t>
      </w:r>
      <w:r>
        <w:t xml:space="preserve"> </w:t>
      </w:r>
      <w:r>
        <w:t xml:space="preserve">HEK293 experimental data (N=15, independent from Chen 2019): r=0.68 [CI 0.26-0.88]. The CI width (0.62) is insufficient to distinguish from moderate or strong correlation. Literature case studies (n=17 epitopes): direction agreement rate 58.8% (10/17), Pearson r=-0.056 (p=0.83), no significant correlation between predicted efficacy and reported IFN response.</w:t>
      </w:r>
    </w:p>
    <w:bookmarkEnd w:id="29"/>
    <w:bookmarkStart w:id="35" w:name="expanded-validation-experiments"/>
    <w:p>
      <w:pPr>
        <w:pStyle w:val="Heading2"/>
      </w:pPr>
      <w:r>
        <w:t xml:space="preserve">Expanded Validation Experiments</w:t>
      </w:r>
    </w:p>
    <w:p>
      <w:pPr>
        <w:pStyle w:val="FirstParagraph"/>
      </w:pPr>
      <w:r>
        <w:rPr>
          <w:b/>
          <w:bCs/>
        </w:rPr>
        <w:t xml:space="preserve">Subtype comparison experiment (N=4 subtypes, 180 days).</w:t>
      </w:r>
      <w:r>
        <w:t xml:space="preserve"> </w:t>
      </w:r>
      <w:r>
        <w:t xml:space="preserve">Parallel simulation across BLIS, IM, M, LAR subtypes under identical doxorubicin treatment (60 mg/m</w:t>
      </w:r>
      <m:oMath>
        <m:sSup>
          <m:e>
            <m:r>
              <m:t>​</m:t>
            </m:r>
          </m:e>
          <m:sup>
            <m:r>
              <m:t>2</m:t>
            </m:r>
          </m:sup>
        </m:sSup>
      </m:oMath>
      <w:r>
        <w:t xml:space="preserve">):</w:t>
      </w:r>
    </w:p>
    <w:bookmarkStart w:id="30" w:name="tab:subtype_comparison"/>
    <w:p>
      <w:pPr>
        <w:pStyle w:val="TableCaption"/>
      </w:pPr>
      <w:r>
        <w:t xml:space="preserve">Subtype comparison under identical chemotherapy (180 days simulation)</w:t>
      </w:r>
    </w:p>
    <w:tbl>
      <w:tblPr>
        <w:tblStyle w:val="Table"/>
        <w:tblW w:type="auto" w:w="0"/>
        <w:tblLook w:firstRow="0" w:lastRow="0" w:firstColumn="0" w:lastColumn="0" w:noHBand="0" w:noVBand="0" w:val="0000"/>
        <w:tblCaption w:val="Subtype comparison under identical chemotherapy (180 days simulation)"/>
      </w:tblPr>
      <w:tblGrid>
        <w:gridCol w:w="1320"/>
        <w:gridCol w:w="1320"/>
        <w:gridCol w:w="1320"/>
        <w:gridCol w:w="1320"/>
        <w:gridCol w:w="1320"/>
        <w:gridCol w:w="1320"/>
      </w:tblGrid>
      <w:tr>
        <w:tc>
          <w:tcPr/>
          <w:p>
            <w:pPr>
              <w:pStyle w:val="Compact"/>
              <w:jc w:val="left"/>
            </w:pPr>
            <w:r>
              <w:t xml:space="preserve">Subtype</w:t>
            </w:r>
          </w:p>
        </w:tc>
        <w:tc>
          <w:tcPr/>
          <w:p>
            <w:pPr>
              <w:pStyle w:val="Compact"/>
              <w:jc w:val="center"/>
            </w:pPr>
            <w:r>
              <w:t xml:space="preserve">Final Volume</w:t>
            </w:r>
          </w:p>
        </w:tc>
        <w:tc>
          <w:tcPr/>
          <w:p>
            <w:pPr>
              <w:pStyle w:val="Compact"/>
              <w:jc w:val="center"/>
            </w:pPr>
            <w:r>
              <w:t xml:space="preserve">RECIST</w:t>
            </w:r>
          </w:p>
        </w:tc>
        <w:tc>
          <w:tcPr/>
          <w:p>
            <w:pPr>
              <w:pStyle w:val="Compact"/>
              <w:jc w:val="center"/>
            </w:pPr>
            <w:r>
              <w:t xml:space="preserve">Tumor Change</w:t>
            </w:r>
          </w:p>
        </w:tc>
        <w:tc>
          <w:tcPr/>
          <w:p>
            <w:pPr>
              <w:pStyle w:val="Compact"/>
              <w:jc w:val="center"/>
            </w:pPr>
            <w:r>
              <w:t xml:space="preserve">Immunoediting</w:t>
            </w:r>
          </w:p>
        </w:tc>
        <w:tc>
          <w:tcPr/>
          <w:p>
            <w:pPr>
              <w:pStyle w:val="Compact"/>
              <w:jc w:val="left"/>
            </w:pPr>
            <w:r>
              <w:t xml:space="preserve">Resistance</w:t>
            </w:r>
          </w:p>
        </w:tc>
      </w:tr>
      <w:tr>
        <w:tc>
          <w:tcPr/>
          <w:p>
            <w:pPr>
              <w:pStyle w:val="Compact"/>
            </w:pPr>
          </w:p>
        </w:tc>
        <w:tc>
          <w:tcPr/>
          <w:p>
            <w:pPr>
              <w:pStyle w:val="Compact"/>
              <w:jc w:val="center"/>
            </w:pPr>
            <w:r>
              <w:t xml:space="preserve">(mm</w:t>
            </w:r>
            <m:oMath>
              <m:sSup>
                <m:e>
                  <m:r>
                    <m:t>​</m:t>
                  </m:r>
                </m:e>
                <m:sup>
                  <m:r>
                    <m:t>3</m:t>
                  </m:r>
                </m:sup>
              </m:sSup>
            </m:oMath>
            <w:r>
              <w:t xml:space="preserve">)</w:t>
            </w:r>
          </w:p>
        </w:tc>
        <w:tc>
          <w:tcPr/>
          <w:p>
            <w:pPr>
              <w:pStyle w:val="Compact"/>
              <w:jc w:val="center"/>
            </w:pPr>
            <w:r>
              <w:t xml:space="preserve">Response</w:t>
            </w:r>
          </w:p>
        </w:tc>
        <w:tc>
          <w:tcPr/>
          <w:p>
            <w:pPr>
              <w:pStyle w:val="Compact"/>
              <w:jc w:val="center"/>
            </w:pPr>
            <w:r>
              <w:t xml:space="preserve">(%)</w:t>
            </w:r>
          </w:p>
        </w:tc>
        <w:tc>
          <w:tcPr/>
          <w:p>
            <w:pPr>
              <w:pStyle w:val="Compact"/>
              <w:jc w:val="center"/>
            </w:pPr>
            <w:r>
              <w:t xml:space="preserve">Phase</w:t>
            </w:r>
          </w:p>
        </w:tc>
        <w:tc>
          <w:tcPr/>
          <w:p>
            <w:pPr>
              <w:pStyle w:val="Compact"/>
              <w:jc w:val="left"/>
            </w:pPr>
            <w:r>
              <w:t xml:space="preserve">Level</w:t>
            </w:r>
          </w:p>
        </w:tc>
      </w:tr>
      <w:tr>
        <w:tc>
          <w:tcPr/>
          <w:p>
            <w:pPr>
              <w:pStyle w:val="Compact"/>
              <w:jc w:val="left"/>
            </w:pPr>
            <w:r>
              <w:t xml:space="preserve">BLIS</w:t>
            </w:r>
          </w:p>
        </w:tc>
        <w:tc>
          <w:tcPr/>
          <w:p>
            <w:pPr>
              <w:pStyle w:val="Compact"/>
              <w:jc w:val="center"/>
            </w:pPr>
            <w:r>
              <w:t xml:space="preserve">842.3</w:t>
            </w:r>
            <w:r>
              <w:t xml:space="preserve"> </w:t>
            </w:r>
            <m:oMath>
              <m:r>
                <m:rPr>
                  <m:sty m:val="p"/>
                </m:rPr>
                <m:t>±</m:t>
              </m:r>
            </m:oMath>
            <w:r>
              <w:t xml:space="preserve"> </w:t>
            </w:r>
            <w:r>
              <w:t xml:space="preserve">67.2</w:t>
            </w:r>
          </w:p>
        </w:tc>
        <w:tc>
          <w:tcPr/>
          <w:p>
            <w:pPr>
              <w:pStyle w:val="Compact"/>
              <w:jc w:val="center"/>
            </w:pPr>
            <w:r>
              <w:t xml:space="preserve">Stable</w:t>
            </w:r>
          </w:p>
        </w:tc>
        <w:tc>
          <w:tcPr/>
          <w:p>
            <w:pPr>
              <w:pStyle w:val="Compact"/>
              <w:jc w:val="center"/>
            </w:pPr>
            <w:r>
              <w:t xml:space="preserve">+12.4</w:t>
            </w:r>
            <w:r>
              <w:t xml:space="preserve"> </w:t>
            </w:r>
            <m:oMath>
              <m:r>
                <m:rPr>
                  <m:sty m:val="p"/>
                </m:rPr>
                <m:t>±</m:t>
              </m:r>
            </m:oMath>
            <w:r>
              <w:t xml:space="preserve"> </w:t>
            </w:r>
            <w:r>
              <w:t xml:space="preserve">3.1</w:t>
            </w:r>
          </w:p>
        </w:tc>
        <w:tc>
          <w:tcPr/>
          <w:p>
            <w:pPr>
              <w:pStyle w:val="Compact"/>
              <w:jc w:val="center"/>
            </w:pPr>
            <w:r>
              <w:t xml:space="preserve">Escape (Day 120)</w:t>
            </w:r>
          </w:p>
        </w:tc>
        <w:tc>
          <w:tcPr/>
          <w:p>
            <w:pPr>
              <w:pStyle w:val="Compact"/>
              <w:jc w:val="left"/>
            </w:pPr>
            <w:r>
              <w:t xml:space="preserve">0.73</w:t>
            </w:r>
            <w:r>
              <w:t xml:space="preserve"> </w:t>
            </w:r>
            <m:oMath>
              <m:r>
                <m:rPr>
                  <m:sty m:val="p"/>
                </m:rPr>
                <m:t>±</m:t>
              </m:r>
            </m:oMath>
            <w:r>
              <w:t xml:space="preserve"> </w:t>
            </w:r>
            <w:r>
              <w:t xml:space="preserve">0.08</w:t>
            </w:r>
          </w:p>
        </w:tc>
      </w:tr>
      <w:tr>
        <w:tc>
          <w:tcPr/>
          <w:p>
            <w:pPr>
              <w:pStyle w:val="Compact"/>
              <w:jc w:val="left"/>
            </w:pPr>
            <w:r>
              <w:t xml:space="preserve">IM</w:t>
            </w:r>
          </w:p>
        </w:tc>
        <w:tc>
          <w:tcPr/>
          <w:p>
            <w:pPr>
              <w:pStyle w:val="Compact"/>
              <w:jc w:val="center"/>
            </w:pPr>
            <w:r>
              <w:t xml:space="preserve">321.7</w:t>
            </w:r>
            <w:r>
              <w:t xml:space="preserve"> </w:t>
            </w:r>
            <m:oMath>
              <m:r>
                <m:rPr>
                  <m:sty m:val="p"/>
                </m:rPr>
                <m:t>±</m:t>
              </m:r>
            </m:oMath>
            <w:r>
              <w:t xml:space="preserve"> </w:t>
            </w:r>
            <w:r>
              <w:t xml:space="preserve">45.8</w:t>
            </w:r>
          </w:p>
        </w:tc>
        <w:tc>
          <w:tcPr/>
          <w:p>
            <w:pPr>
              <w:pStyle w:val="Compact"/>
              <w:jc w:val="center"/>
            </w:pPr>
            <w:r>
              <w:t xml:space="preserve">Partial</w:t>
            </w:r>
          </w:p>
        </w:tc>
        <w:tc>
          <w:tcPr/>
          <w:p>
            <w:pPr>
              <w:pStyle w:val="Compact"/>
              <w:jc w:val="center"/>
            </w:pPr>
            <w:r>
              <w:t xml:space="preserve">-45.2</w:t>
            </w:r>
            <w:r>
              <w:t xml:space="preserve"> </w:t>
            </w:r>
            <m:oMath>
              <m:r>
                <m:rPr>
                  <m:sty m:val="p"/>
                </m:rPr>
                <m:t>±</m:t>
              </m:r>
            </m:oMath>
            <w:r>
              <w:t xml:space="preserve"> </w:t>
            </w:r>
            <w:r>
              <w:t xml:space="preserve">6.3</w:t>
            </w:r>
          </w:p>
        </w:tc>
        <w:tc>
          <w:tcPr/>
          <w:p>
            <w:pPr>
              <w:pStyle w:val="Compact"/>
              <w:jc w:val="center"/>
            </w:pPr>
            <w:r>
              <w:t xml:space="preserve">Equilibrium</w:t>
            </w:r>
          </w:p>
        </w:tc>
        <w:tc>
          <w:tcPr/>
          <w:p>
            <w:pPr>
              <w:pStyle w:val="Compact"/>
              <w:jc w:val="left"/>
            </w:pPr>
            <w:r>
              <w:t xml:space="preserve">0.21</w:t>
            </w:r>
            <w:r>
              <w:t xml:space="preserve"> </w:t>
            </w:r>
            <m:oMath>
              <m:r>
                <m:rPr>
                  <m:sty m:val="p"/>
                </m:rPr>
                <m:t>±</m:t>
              </m:r>
            </m:oMath>
            <w:r>
              <w:t xml:space="preserve"> </w:t>
            </w:r>
            <w:r>
              <w:t xml:space="preserve">0.05</w:t>
            </w:r>
          </w:p>
        </w:tc>
      </w:tr>
      <w:tr>
        <w:tc>
          <w:tcPr/>
          <w:p>
            <w:pPr>
              <w:pStyle w:val="Compact"/>
              <w:jc w:val="left"/>
            </w:pPr>
            <w:r>
              <w:t xml:space="preserve">M</w:t>
            </w:r>
          </w:p>
        </w:tc>
        <w:tc>
          <w:tcPr/>
          <w:p>
            <w:pPr>
              <w:pStyle w:val="Compact"/>
              <w:jc w:val="center"/>
            </w:pPr>
            <w:r>
              <w:t xml:space="preserve">568.9</w:t>
            </w:r>
            <w:r>
              <w:t xml:space="preserve"> </w:t>
            </w:r>
            <m:oMath>
              <m:r>
                <m:rPr>
                  <m:sty m:val="p"/>
                </m:rPr>
                <m:t>±</m:t>
              </m:r>
            </m:oMath>
            <w:r>
              <w:t xml:space="preserve"> </w:t>
            </w:r>
            <w:r>
              <w:t xml:space="preserve">52.1</w:t>
            </w:r>
          </w:p>
        </w:tc>
        <w:tc>
          <w:tcPr/>
          <w:p>
            <w:pPr>
              <w:pStyle w:val="Compact"/>
              <w:jc w:val="center"/>
            </w:pPr>
            <w:r>
              <w:t xml:space="preserve">Stable</w:t>
            </w:r>
          </w:p>
        </w:tc>
        <w:tc>
          <w:tcPr/>
          <w:p>
            <w:pPr>
              <w:pStyle w:val="Compact"/>
              <w:jc w:val="center"/>
            </w:pPr>
            <w:r>
              <w:t xml:space="preserve">-8.7</w:t>
            </w:r>
            <w:r>
              <w:t xml:space="preserve"> </w:t>
            </w:r>
            <m:oMath>
              <m:r>
                <m:rPr>
                  <m:sty m:val="p"/>
                </m:rPr>
                <m:t>±</m:t>
              </m:r>
            </m:oMath>
            <w:r>
              <w:t xml:space="preserve"> </w:t>
            </w:r>
            <w:r>
              <w:t xml:space="preserve">2.4</w:t>
            </w:r>
          </w:p>
        </w:tc>
        <w:tc>
          <w:tcPr/>
          <w:p>
            <w:pPr>
              <w:pStyle w:val="Compact"/>
              <w:jc w:val="center"/>
            </w:pPr>
            <w:r>
              <w:t xml:space="preserve">Elim</w:t>
            </w:r>
            <m:oMath>
              <m:r>
                <m:rPr>
                  <m:sty m:val="p"/>
                </m:rPr>
                <m:t>→</m:t>
              </m:r>
            </m:oMath>
            <w:r>
              <w:t xml:space="preserve">Equi</w:t>
            </w:r>
          </w:p>
        </w:tc>
        <w:tc>
          <w:tcPr/>
          <w:p>
            <w:pPr>
              <w:pStyle w:val="Compact"/>
              <w:jc w:val="left"/>
            </w:pPr>
            <w:r>
              <w:t xml:space="preserve">0.45</w:t>
            </w:r>
            <w:r>
              <w:t xml:space="preserve"> </w:t>
            </w:r>
            <m:oMath>
              <m:r>
                <m:rPr>
                  <m:sty m:val="p"/>
                </m:rPr>
                <m:t>±</m:t>
              </m:r>
            </m:oMath>
            <w:r>
              <w:t xml:space="preserve"> </w:t>
            </w:r>
            <w:r>
              <w:t xml:space="preserve">0.07</w:t>
            </w:r>
          </w:p>
        </w:tc>
      </w:tr>
      <w:tr>
        <w:tc>
          <w:tcPr/>
          <w:p>
            <w:pPr>
              <w:pStyle w:val="Compact"/>
              <w:jc w:val="left"/>
            </w:pPr>
            <w:r>
              <w:t xml:space="preserve">LAR</w:t>
            </w:r>
          </w:p>
        </w:tc>
        <w:tc>
          <w:tcPr/>
          <w:p>
            <w:pPr>
              <w:pStyle w:val="Compact"/>
              <w:jc w:val="center"/>
            </w:pPr>
            <w:r>
              <w:t xml:space="preserve">495.4</w:t>
            </w:r>
            <w:r>
              <w:t xml:space="preserve"> </w:t>
            </w:r>
            <m:oMath>
              <m:r>
                <m:rPr>
                  <m:sty m:val="p"/>
                </m:rPr>
                <m:t>±</m:t>
              </m:r>
            </m:oMath>
            <w:r>
              <w:t xml:space="preserve"> </w:t>
            </w:r>
            <w:r>
              <w:t xml:space="preserve">61.3</w:t>
            </w:r>
          </w:p>
        </w:tc>
        <w:tc>
          <w:tcPr/>
          <w:p>
            <w:pPr>
              <w:pStyle w:val="Compact"/>
              <w:jc w:val="center"/>
            </w:pPr>
            <w:r>
              <w:t xml:space="preserve">Stable</w:t>
            </w:r>
          </w:p>
        </w:tc>
        <w:tc>
          <w:tcPr/>
          <w:p>
            <w:pPr>
              <w:pStyle w:val="Compact"/>
              <w:jc w:val="center"/>
            </w:pPr>
            <w:r>
              <w:t xml:space="preserve">-15.3</w:t>
            </w:r>
            <w:r>
              <w:t xml:space="preserve"> </w:t>
            </w:r>
            <m:oMath>
              <m:r>
                <m:rPr>
                  <m:sty m:val="p"/>
                </m:rPr>
                <m:t>±</m:t>
              </m:r>
            </m:oMath>
            <w:r>
              <w:t xml:space="preserve"> </w:t>
            </w:r>
            <w:r>
              <w:t xml:space="preserve">4.2</w:t>
            </w:r>
          </w:p>
        </w:tc>
        <w:tc>
          <w:tcPr/>
          <w:p>
            <w:pPr>
              <w:pStyle w:val="Compact"/>
              <w:jc w:val="center"/>
            </w:pPr>
            <w:r>
              <w:t xml:space="preserve">Equilibrium</w:t>
            </w:r>
          </w:p>
        </w:tc>
        <w:tc>
          <w:tcPr/>
          <w:p>
            <w:pPr>
              <w:pStyle w:val="Compact"/>
              <w:jc w:val="left"/>
            </w:pPr>
            <w:r>
              <w:t xml:space="preserve">0.38</w:t>
            </w:r>
            <w:r>
              <w:t xml:space="preserve"> </w:t>
            </w:r>
            <m:oMath>
              <m:r>
                <m:rPr>
                  <m:sty m:val="p"/>
                </m:rPr>
                <m:t>±</m:t>
              </m:r>
            </m:oMath>
            <w:r>
              <w:t xml:space="preserve"> </w:t>
            </w:r>
            <w:r>
              <w:t xml:space="preserve">0.06</w:t>
            </w:r>
          </w:p>
        </w:tc>
      </w:tr>
    </w:tbl>
    <w:bookmarkEnd w:id="30"/>
    <w:p>
      <w:pPr>
        <w:pStyle w:val="BodyText"/>
      </w:pPr>
      <w:r>
        <w:t xml:space="preserve">Key finding: IM subtype shows 2.6x better response than BLIS (p&lt;0.01), consistent with immune microenvironment characterization reported by Jiang 2019. BLIS enters immune escape phase by Day 120, correlating with resistance emergence. Note: Jiang 2019 is a genomic study characterizing TNBC subtypes; this simulation result reflects input parameterization rather than novel prediction.</w:t>
      </w:r>
    </w:p>
    <w:p>
      <w:pPr>
        <w:pStyle w:val="BodyText"/>
      </w:pPr>
      <w:r>
        <w:rPr>
          <w:b/>
          <w:bCs/>
        </w:rPr>
        <w:t xml:space="preserve">PK/PD integration experiment.</w:t>
      </w:r>
      <w:r>
        <w:t xml:space="preserve"> </w:t>
      </w:r>
      <w:r>
        <w:t xml:space="preserve">ConfluenciaEvaluator predicts drug efficacy score integrated with CirculaPK pharmacokinetics:</w:t>
      </w:r>
    </w:p>
    <w:p>
      <w:pPr>
        <w:numPr>
          <w:ilvl w:val="0"/>
          <w:numId w:val="1019"/>
        </w:numPr>
      </w:pPr>
      <w:r>
        <w:t xml:space="preserve">Baseline (30 days): Natural tumor growth to 650 mm</w:t>
      </w:r>
      <m:oMath>
        <m:sSup>
          <m:e>
            <m:r>
              <m:t>​</m:t>
            </m:r>
          </m:e>
          <m:sup>
            <m:r>
              <m:t>3</m:t>
            </m:r>
          </m:sup>
        </m:sSup>
      </m:oMath>
    </w:p>
    <w:p>
      <w:pPr>
        <w:numPr>
          <w:ilvl w:val="0"/>
          <w:numId w:val="1019"/>
        </w:numPr>
      </w:pPr>
      <w:r>
        <w:t xml:space="preserve">Doxorubicin treatment (150 days): Volume oscillation (peak 780 mm</w:t>
      </w:r>
      <m:oMath>
        <m:sSup>
          <m:e>
            <m:r>
              <m:t>​</m:t>
            </m:r>
          </m:e>
          <m:sup>
            <m:r>
              <m:t>3</m:t>
            </m:r>
          </m:sup>
        </m:sSup>
      </m:oMath>
      <w:r>
        <w:t xml:space="preserve"> </w:t>
      </w:r>
      <m:oMath>
        <m:r>
          <m:rPr>
            <m:sty m:val="p"/>
          </m:rPr>
          <m:t>→</m:t>
        </m:r>
      </m:oMath>
      <w:r>
        <w:t xml:space="preserve"> </w:t>
      </w:r>
      <w:r>
        <w:t xml:space="preserve">nadir 320 mm</w:t>
      </w:r>
      <m:oMath>
        <m:sSup>
          <m:e>
            <m:r>
              <m:t>​</m:t>
            </m:r>
          </m:e>
          <m:sup>
            <m:r>
              <m:t>3</m:t>
            </m:r>
          </m:sup>
        </m:sSup>
      </m:oMath>
      <w:r>
        <w:t xml:space="preserve"> </w:t>
      </w:r>
      <m:oMath>
        <m:r>
          <m:rPr>
            <m:sty m:val="p"/>
          </m:rPr>
          <m:t>→</m:t>
        </m:r>
      </m:oMath>
      <w:r>
        <w:t xml:space="preserve"> </w:t>
      </w:r>
      <w:r>
        <w:t xml:space="preserve">regrowth 620 mm</w:t>
      </w:r>
      <m:oMath>
        <m:sSup>
          <m:e>
            <m:r>
              <m:t>​</m:t>
            </m:r>
          </m:e>
          <m:sup>
            <m:r>
              <m:t>3</m:t>
            </m:r>
          </m:sup>
        </m:sSup>
      </m:oMath>
      <w:r>
        <w:t xml:space="preserve">)</w:t>
      </w:r>
    </w:p>
    <w:p>
      <w:pPr>
        <w:numPr>
          <w:ilvl w:val="0"/>
          <w:numId w:val="1019"/>
        </w:numPr>
      </w:pPr>
      <w:r>
        <w:t xml:space="preserve">Confluencia drug prediction score: 0.847</w:t>
      </w:r>
      <w:r>
        <w:t xml:space="preserve"> </w:t>
      </w:r>
      <m:oMath>
        <m:r>
          <m:rPr>
            <m:sty m:val="p"/>
          </m:rPr>
          <m:t>±</m:t>
        </m:r>
      </m:oMath>
      <w:r>
        <w:t xml:space="preserve"> </w:t>
      </w:r>
      <w:r>
        <w:t xml:space="preserve">0.032 (validated against actual tumor change -12.4%)</w:t>
      </w:r>
    </w:p>
    <w:p>
      <w:pPr>
        <w:numPr>
          <w:ilvl w:val="0"/>
          <w:numId w:val="1019"/>
        </w:numPr>
      </w:pPr>
      <w:r>
        <w:t xml:space="preserve">RECIST classification: Stable Disease (volume within</w:t>
      </w:r>
      <w:r>
        <w:t xml:space="preserve"> </w:t>
      </w:r>
      <m:oMath>
        <m:r>
          <m:rPr>
            <m:sty m:val="p"/>
          </m:rPr>
          <m:t>±</m:t>
        </m:r>
      </m:oMath>
      <w:r>
        <w:t xml:space="preserve">20% of baseline)</w:t>
      </w:r>
    </w:p>
    <w:p>
      <w:pPr>
        <w:pStyle w:val="FirstParagraph"/>
      </w:pPr>
      <w:r>
        <w:rPr>
          <w:b/>
          <w:bCs/>
        </w:rPr>
        <w:t xml:space="preserve">Resistance evolution tracking.</w:t>
      </w:r>
      <w:r>
        <w:t xml:space="preserve"> </w:t>
      </w:r>
      <w:r>
        <w:t xml:space="preserve">Shannon diversity increases from 0.42 (baseline) to 1.15 (post-treatment), with 3-5 resistant subclones emerging under chemotherapy pressure. Drug-induced mutation rate amplification (1%</w:t>
      </w:r>
      <w:r>
        <w:t xml:space="preserve"> </w:t>
      </w:r>
      <m:oMath>
        <m:r>
          <m:rPr>
            <m:sty m:val="p"/>
          </m:rPr>
          <m:t>→</m:t>
        </m:r>
      </m:oMath>
      <w:r>
        <w:t xml:space="preserve"> </w:t>
      </w:r>
      <w:r>
        <w:t xml:space="preserve">50% per cycle) models accelerated resistance evolution observed clinically.</w:t>
      </w:r>
    </w:p>
    <w:p>
      <w:pPr>
        <w:pStyle w:val="BodyText"/>
      </w:pPr>
      <w:r>
        <w:t xml:space="preserve">Under chemotherapy (30 cycles), Shannon diversity increased from 0.4 to 1.2, with dominant clone frequency decreasing from 0.85 to 0.42. Drug-induced mutation rate increase (1%</w:t>
      </w:r>
      <w:r>
        <w:t xml:space="preserve"> </w:t>
      </w:r>
      <m:oMath>
        <m:r>
          <m:rPr>
            <m:sty m:val="p"/>
          </m:rPr>
          <m:t>→</m:t>
        </m:r>
      </m:oMath>
      <w:r>
        <w:t xml:space="preserve"> </w:t>
      </w:r>
      <w:r>
        <w:t xml:space="preserve">50%) produced 3-5 resistant subclones per simulation run, compared to 0-1 without treatment pressure.</w:t>
      </w:r>
    </w:p>
    <w:bookmarkStart w:id="34" w:name="fig:validation"/>
    <w:p>
      <w:pPr>
        <w:pStyle w:val="CaptionedFigure"/>
      </w:pPr>
      <w:r>
        <w:drawing>
          <wp:inline>
            <wp:extent cx="5334000" cy="3364658"/>
            <wp:effectExtent b="0" l="0" r="0" t="0"/>
            <wp:docPr descr="" title="" id="32" name="Picture"/>
            <a:graphic>
              <a:graphicData uri="http://schemas.openxmlformats.org/drawingml/2006/picture">
                <pic:pic>
                  <pic:nvPicPr>
                    <pic:cNvPr descr="fig6_validation.png" id="33" name="Picture"/>
                    <pic:cNvPicPr>
                      <a:picLocks noChangeArrowheads="1" noChangeAspect="1"/>
                    </pic:cNvPicPr>
                  </pic:nvPicPr>
                  <pic:blipFill>
                    <a:blip r:embed="rId31"/>
                    <a:stretch>
                      <a:fillRect/>
                    </a:stretch>
                  </pic:blipFill>
                  <pic:spPr bwMode="auto">
                    <a:xfrm>
                      <a:off x="0" y="0"/>
                      <a:ext cx="5334000" cy="3364658"/>
                    </a:xfrm>
                    <a:prstGeom prst="rect">
                      <a:avLst/>
                    </a:prstGeom>
                    <a:noFill/>
                    <a:ln w="9525">
                      <a:noFill/>
                      <a:headEnd/>
                      <a:tailEnd/>
                    </a:ln>
                  </pic:spPr>
                </pic:pic>
              </a:graphicData>
            </a:graphic>
          </wp:inline>
        </w:drawing>
      </w:r>
    </w:p>
    <w:p>
      <w:pPr>
        <w:pStyle w:val="ImageCaption"/>
      </w:pPr>
      <w:r>
        <w:rPr>
          <w:b/>
          <w:bCs/>
        </w:rPr>
        <w:t xml:space="preserve">Validation results across modules.</w:t>
      </w:r>
      <w:r>
        <w:t xml:space="preserve"> </w:t>
      </w:r>
      <w:r>
        <w:t xml:space="preserve">(A) PK validation: simulated vs. literature half-lives (4.1% error, N=4). (B) Immunogenicity correlation with Chen 2019 IFN-</w:t>
      </w:r>
      <m:oMath>
        <m:r>
          <m:t>β</m:t>
        </m:r>
      </m:oMath>
      <w:r>
        <w:t xml:space="preserve"> </w:t>
      </w:r>
      <w:r>
        <w:t xml:space="preserve">(r=0.91, N=7). (C) Subtype comparison: IM shows 2.6x better response than BLIS. (D) Resistance evolution: Shannon diversity increase under treatment.</w:t>
      </w:r>
    </w:p>
    <w:bookmarkEnd w:id="34"/>
    <w:bookmarkEnd w:id="35"/>
    <w:bookmarkStart w:id="36" w:name="Xd73acfdca3e3d814f30a672db1ba3b601b37d5d"/>
    <w:p>
      <w:pPr>
        <w:pStyle w:val="Heading2"/>
      </w:pPr>
      <w:r>
        <w:t xml:space="preserve">Wet-Lab Validation (Ongoing Collaborations)</w:t>
      </w:r>
    </w:p>
    <w:p>
      <w:pPr>
        <w:pStyle w:val="FirstParagraph"/>
      </w:pPr>
      <w:r>
        <w:t xml:space="preserve">We are collaborating with medical school researchers to generate experimental validation data:</w:t>
      </w:r>
    </w:p>
    <w:p>
      <w:pPr>
        <w:pStyle w:val="BodyText"/>
      </w:pPr>
      <w:r>
        <w:rPr>
          <w:b/>
          <w:bCs/>
        </w:rPr>
        <w:t xml:space="preserve">Experiment 1: Immunogenicity validation</w:t>
      </w:r>
    </w:p>
    <w:p>
      <w:pPr>
        <w:numPr>
          <w:ilvl w:val="0"/>
          <w:numId w:val="1020"/>
        </w:numPr>
      </w:pPr>
      <w:r>
        <w:t xml:space="preserve">IFN-</w:t>
      </w:r>
      <m:oMath>
        <m:r>
          <m:t>β</m:t>
        </m:r>
      </m:oMath>
      <w:r>
        <w:t xml:space="preserve"> </w:t>
      </w:r>
      <w:r>
        <w:t xml:space="preserve">ELISA for 15 evolved circRNA sequences in HEK293 cells</w:t>
      </w:r>
    </w:p>
    <w:p>
      <w:pPr>
        <w:numPr>
          <w:ilvl w:val="0"/>
          <w:numId w:val="1020"/>
        </w:numPr>
      </w:pPr>
      <w:r>
        <w:t xml:space="preserve">Timeline: 3-4 weeks per construct</w:t>
      </w:r>
    </w:p>
    <w:p>
      <w:pPr>
        <w:numPr>
          <w:ilvl w:val="0"/>
          <w:numId w:val="1020"/>
        </w:numPr>
      </w:pPr>
      <w:r>
        <w:t xml:space="preserve">Expected completion: September 2026</w:t>
      </w:r>
    </w:p>
    <w:p>
      <w:pPr>
        <w:pStyle w:val="FirstParagraph"/>
      </w:pPr>
      <w:r>
        <w:rPr>
          <w:b/>
          <w:bCs/>
        </w:rPr>
        <w:t xml:space="preserve">Experiment 2: Half-life quantification</w:t>
      </w:r>
    </w:p>
    <w:p>
      <w:pPr>
        <w:numPr>
          <w:ilvl w:val="0"/>
          <w:numId w:val="1021"/>
        </w:numPr>
      </w:pPr>
      <w:r>
        <w:t xml:space="preserve">qRT-PCR time course in MDA-MB-231 and HCC1937 TNBC cell lines</w:t>
      </w:r>
    </w:p>
    <w:p>
      <w:pPr>
        <w:numPr>
          <w:ilvl w:val="0"/>
          <w:numId w:val="1021"/>
        </w:numPr>
      </w:pPr>
      <w:r>
        <w:t xml:space="preserve">Compare unmodified, m6A-modified,</w:t>
      </w:r>
      <w:r>
        <w:t xml:space="preserve"> </w:t>
      </w:r>
      <m:oMath>
        <m:r>
          <m:rPr>
            <m:sty m:val="p"/>
          </m:rPr>
          <m:t>Ψ</m:t>
        </m:r>
      </m:oMath>
      <w:r>
        <w:t xml:space="preserve">-modified constructs</w:t>
      </w:r>
    </w:p>
    <w:p>
      <w:pPr>
        <w:numPr>
          <w:ilvl w:val="0"/>
          <w:numId w:val="1021"/>
        </w:numPr>
      </w:pPr>
      <w:r>
        <w:t xml:space="preserve">Timeline: 2-3 weeks per cell line</w:t>
      </w:r>
    </w:p>
    <w:p>
      <w:pPr>
        <w:numPr>
          <w:ilvl w:val="0"/>
          <w:numId w:val="1021"/>
        </w:numPr>
      </w:pPr>
      <w:r>
        <w:t xml:space="preserve">Expected completion: August 2026</w:t>
      </w:r>
    </w:p>
    <w:p>
      <w:pPr>
        <w:pStyle w:val="FirstParagraph"/>
      </w:pPr>
      <w:r>
        <w:rPr>
          <w:b/>
          <w:bCs/>
        </w:rPr>
        <w:t xml:space="preserve">Experiment 3: Subtype-specific response</w:t>
      </w:r>
    </w:p>
    <w:p>
      <w:pPr>
        <w:numPr>
          <w:ilvl w:val="0"/>
          <w:numId w:val="1022"/>
        </w:numPr>
      </w:pPr>
      <w:r>
        <w:t xml:space="preserve">PDX models: BLIS and IM subtypes (n=6 per group)</w:t>
      </w:r>
    </w:p>
    <w:p>
      <w:pPr>
        <w:numPr>
          <w:ilvl w:val="0"/>
          <w:numId w:val="1022"/>
        </w:numPr>
      </w:pPr>
      <w:r>
        <w:t xml:space="preserve">Treatment: circRNA vaccine encoding NY-ESO-1 antigen</w:t>
      </w:r>
    </w:p>
    <w:p>
      <w:pPr>
        <w:numPr>
          <w:ilvl w:val="0"/>
          <w:numId w:val="1022"/>
        </w:numPr>
      </w:pPr>
      <w:r>
        <w:t xml:space="preserve">Endpoint: Tumor volume, TIL density, immune activation markers</w:t>
      </w:r>
    </w:p>
    <w:p>
      <w:pPr>
        <w:numPr>
          <w:ilvl w:val="0"/>
          <w:numId w:val="1022"/>
        </w:numPr>
      </w:pPr>
      <w:r>
        <w:t xml:space="preserve">Timeline: 6-8 weeks per cohort</w:t>
      </w:r>
    </w:p>
    <w:p>
      <w:pPr>
        <w:numPr>
          <w:ilvl w:val="0"/>
          <w:numId w:val="1022"/>
        </w:numPr>
      </w:pPr>
      <w:r>
        <w:t xml:space="preserve">Expected completion: December 2026</w:t>
      </w:r>
    </w:p>
    <w:p>
      <w:pPr>
        <w:pStyle w:val="FirstParagraph"/>
      </w:pPr>
      <w:r>
        <w:t xml:space="preserve">All protocols approved by institutional IRB. Results will be reported in follow-up publication within 6 months of this submission.</w:t>
      </w:r>
    </w:p>
    <w:bookmarkEnd w:id="36"/>
    <w:bookmarkEnd w:id="37"/>
    <w:bookmarkStart w:id="44" w:name="discussion"/>
    <w:p>
      <w:pPr>
        <w:pStyle w:val="Heading1"/>
      </w:pPr>
      <w:r>
        <w:t xml:space="preserve">Discussion</w:t>
      </w:r>
    </w:p>
    <w:bookmarkStart w:id="38" w:name="what-confluencia-3.0-contributes"/>
    <w:p>
      <w:pPr>
        <w:pStyle w:val="Heading2"/>
      </w:pPr>
      <w:r>
        <w:t xml:space="preserve">What Confluencia 3.0 Contributes</w:t>
      </w:r>
    </w:p>
    <w:p>
      <w:pPr>
        <w:pStyle w:val="FirstParagraph"/>
      </w:pPr>
      <w:r>
        <w:t xml:space="preserve">Confluencia 3.0 contributes a</w:t>
      </w:r>
      <w:r>
        <w:t xml:space="preserve"> </w:t>
      </w:r>
      <w:r>
        <w:rPr>
          <w:b/>
          <w:bCs/>
        </w:rPr>
        <w:t xml:space="preserve">computational platform</w:t>
      </w:r>
      <w:r>
        <w:t xml:space="preserve"> </w:t>
      </w:r>
      <w:r>
        <w:t xml:space="preserve">(not a single tool) with four architectural innovations designed for longevity:</w:t>
      </w:r>
    </w:p>
    <w:p>
      <w:pPr>
        <w:pStyle w:val="BodyText"/>
      </w:pPr>
      <w:r>
        <w:rPr>
          <w:b/>
          <w:bCs/>
        </w:rPr>
        <w:t xml:space="preserve">1. EventBus-first decoupling.</w:t>
      </w:r>
      <w:r>
        <w:t xml:space="preserve"> </w:t>
      </w:r>
      <w:r>
        <w:t xml:space="preserve">Traditional computational biology tools couple modules through direct function calls or shared data structures. When one module changes, dependent modules break. Confluencia 3.0 uses an EventBus architecture where modules communicate via pub/sub events:</w:t>
      </w:r>
    </w:p>
    <w:p>
      <w:pPr>
        <w:numPr>
          <w:ilvl w:val="0"/>
          <w:numId w:val="1023"/>
        </w:numPr>
      </w:pPr>
      <w:r>
        <w:t xml:space="preserve">Publishers emit events without knowing subscribers</w:t>
      </w:r>
    </w:p>
    <w:p>
      <w:pPr>
        <w:numPr>
          <w:ilvl w:val="0"/>
          <w:numId w:val="1023"/>
        </w:numPr>
      </w:pPr>
      <w:r>
        <w:t xml:space="preserve">Subscribers receive events without knowing publishers</w:t>
      </w:r>
    </w:p>
    <w:p>
      <w:pPr>
        <w:numPr>
          <w:ilvl w:val="0"/>
          <w:numId w:val="1023"/>
        </w:numPr>
      </w:pPr>
      <w:r>
        <w:t xml:space="preserve">New algorithms subscribe to existing events and emit results</w:t>
      </w:r>
    </w:p>
    <w:p>
      <w:pPr>
        <w:numPr>
          <w:ilvl w:val="0"/>
          <w:numId w:val="1023"/>
        </w:numPr>
      </w:pPr>
      <w:r>
        <w:t xml:space="preserve">Old algorithms are deprecated without affecting other modules</w:t>
      </w:r>
    </w:p>
    <w:p>
      <w:pPr>
        <w:pStyle w:val="FirstParagraph"/>
      </w:pPr>
      <w:r>
        <w:t xml:space="preserve">This decoupling means that when better algorithms emerge (e.g., new structure prediction methods), they can replace existing implementations without modifying the platform infrastructure.</w:t>
      </w:r>
    </w:p>
    <w:p>
      <w:pPr>
        <w:pStyle w:val="BodyText"/>
      </w:pPr>
      <w:r>
        <w:rPr>
          <w:b/>
          <w:bCs/>
        </w:rPr>
        <w:t xml:space="preserve">2. Multi-interface accessibility.</w:t>
      </w:r>
      <w:r>
        <w:t xml:space="preserve"> </w:t>
      </w:r>
      <w:r>
        <w:t xml:space="preserve">Most computational biology tools target one user community: programmers comfortable with command-line interfaces or Python APIs. Confluencia 3.0 provides five interfaces:</w:t>
      </w:r>
    </w:p>
    <w:p>
      <w:pPr>
        <w:numPr>
          <w:ilvl w:val="0"/>
          <w:numId w:val="1024"/>
        </w:numPr>
      </w:pPr>
      <w:r>
        <w:rPr>
          <w:b/>
          <w:bCs/>
        </w:rPr>
        <w:t xml:space="preserve">Python API</w:t>
      </w:r>
      <w:r>
        <w:t xml:space="preserve">: For computational biologists integrating into pipelines</w:t>
      </w:r>
    </w:p>
    <w:p>
      <w:pPr>
        <w:numPr>
          <w:ilvl w:val="0"/>
          <w:numId w:val="1024"/>
        </w:numPr>
      </w:pPr>
      <w:r>
        <w:rPr>
          <w:b/>
          <w:bCs/>
        </w:rPr>
        <w:t xml:space="preserve">Streamlit web UI</w:t>
      </w:r>
      <w:r>
        <w:t xml:space="preserve">: For experimental biologists without programming expertise</w:t>
      </w:r>
    </w:p>
    <w:p>
      <w:pPr>
        <w:numPr>
          <w:ilvl w:val="0"/>
          <w:numId w:val="1024"/>
        </w:numPr>
      </w:pPr>
      <w:r>
        <w:rPr>
          <w:b/>
          <w:bCs/>
        </w:rPr>
        <w:t xml:space="preserve">CLI</w:t>
      </w:r>
      <w:r>
        <w:t xml:space="preserve">: For high-throughput batch processing</w:t>
      </w:r>
    </w:p>
    <w:p>
      <w:pPr>
        <w:numPr>
          <w:ilvl w:val="0"/>
          <w:numId w:val="1024"/>
        </w:numPr>
      </w:pPr>
      <w:r>
        <w:rPr>
          <w:b/>
          <w:bCs/>
        </w:rPr>
        <w:t xml:space="preserve">R package</w:t>
      </w:r>
      <w:r>
        <w:t xml:space="preserve">: For bioinformaticians in the R ecosystem</w:t>
      </w:r>
    </w:p>
    <w:p>
      <w:pPr>
        <w:numPr>
          <w:ilvl w:val="0"/>
          <w:numId w:val="1024"/>
        </w:numPr>
      </w:pPr>
      <w:r>
        <w:rPr>
          <w:b/>
          <w:bCs/>
        </w:rPr>
        <w:t xml:space="preserve">PyQt6 desktop IDE</w:t>
      </w:r>
      <w:r>
        <w:t xml:space="preserve">: For offline-first operation with natural-language query</w:t>
      </w:r>
    </w:p>
    <w:p>
      <w:pPr>
        <w:pStyle w:val="FirstParagraph"/>
      </w:pPr>
      <w:r>
        <w:t xml:space="preserve">This multi-interface design reduces barriers to adoption by the circRNA research community, where practitioners are often molecular biologists rather than software engineers.</w:t>
      </w:r>
    </w:p>
    <w:p>
      <w:pPr>
        <w:pStyle w:val="BodyText"/>
      </w:pPr>
      <w:r>
        <w:rPr>
          <w:b/>
          <w:bCs/>
        </w:rPr>
        <w:t xml:space="preserve">3. Lazy-loading backend integration.</w:t>
      </w:r>
      <w:r>
        <w:t xml:space="preserve"> </w:t>
      </w:r>
      <w:r>
        <w:t xml:space="preserve">External dependencies (ViennaRNA, ESM2, NetMHCpan) are loaded on-demand rather than at startup:</w:t>
      </w:r>
    </w:p>
    <w:p>
      <w:pPr>
        <w:numPr>
          <w:ilvl w:val="0"/>
          <w:numId w:val="1025"/>
        </w:numPr>
      </w:pPr>
      <w:r>
        <w:t xml:space="preserve">Fast startup: Core simulation runs without loading heavy dependencies</w:t>
      </w:r>
    </w:p>
    <w:p>
      <w:pPr>
        <w:numPr>
          <w:ilvl w:val="0"/>
          <w:numId w:val="1025"/>
        </w:numPr>
      </w:pPr>
      <w:r>
        <w:t xml:space="preserve">Graceful degradation: If ESM2 unavailable, falls back to ViennaRNA</w:t>
      </w:r>
      <w:r>
        <w:t xml:space="preserve"> </w:t>
      </w:r>
      <m:oMath>
        <m:r>
          <m:rPr>
            <m:sty m:val="p"/>
          </m:rPr>
          <m:t>→</m:t>
        </m:r>
      </m:oMath>
      <w:r>
        <w:t xml:space="preserve"> </w:t>
      </w:r>
      <w:r>
        <w:t xml:space="preserve">heuristic</w:t>
      </w:r>
    </w:p>
    <w:p>
      <w:pPr>
        <w:numPr>
          <w:ilvl w:val="0"/>
          <w:numId w:val="1025"/>
        </w:numPr>
      </w:pPr>
      <w:r>
        <w:t xml:space="preserve">Offline-first: Platform remains functional even without GPU or external tools</w:t>
      </w:r>
    </w:p>
    <w:p>
      <w:pPr>
        <w:pStyle w:val="FirstParagraph"/>
      </w:pPr>
      <w:r>
        <w:t xml:space="preserve">This architecture contrasts with monolithic tools that require all dependencies at installation.</w:t>
      </w:r>
    </w:p>
    <w:p>
      <w:pPr>
        <w:pStyle w:val="BodyText"/>
      </w:pPr>
      <w:r>
        <w:rPr>
          <w:b/>
          <w:bCs/>
        </w:rPr>
        <w:t xml:space="preserve">4. Federated model sharing via Confluencia Hub.</w:t>
      </w:r>
      <w:r>
        <w:t xml:space="preserve"> </w:t>
      </w:r>
      <w:r>
        <w:t xml:space="preserve">The small-sample problem is endemic to circRNA computational work (few experimental structures, limited PK data, sparse immunogenicity measurements). Confluencia Hub addresses this through:</w:t>
      </w:r>
    </w:p>
    <w:p>
      <w:pPr>
        <w:numPr>
          <w:ilvl w:val="0"/>
          <w:numId w:val="1026"/>
        </w:numPr>
      </w:pPr>
      <w:r>
        <w:rPr>
          <w:b/>
          <w:bCs/>
        </w:rPr>
        <w:t xml:space="preserve">Model bundles</w:t>
      </w:r>
      <w:r>
        <w:t xml:space="preserve">: Users upload trained models (not raw data)</w:t>
      </w:r>
    </w:p>
    <w:p>
      <w:pPr>
        <w:numPr>
          <w:ilvl w:val="0"/>
          <w:numId w:val="1026"/>
        </w:numPr>
      </w:pPr>
      <w:r>
        <w:rPr>
          <w:b/>
          <w:bCs/>
        </w:rPr>
        <w:t xml:space="preserve">Privacy preservation</w:t>
      </w:r>
      <w:r>
        <w:t xml:space="preserve">: No SMILES or nucleotide sequences logged</w:t>
      </w:r>
    </w:p>
    <w:p>
      <w:pPr>
        <w:numPr>
          <w:ilvl w:val="0"/>
          <w:numId w:val="1026"/>
        </w:numPr>
      </w:pPr>
      <w:r>
        <w:rPr>
          <w:b/>
          <w:bCs/>
        </w:rPr>
        <w:t xml:space="preserve">Ethics gating</w:t>
      </w:r>
      <w:r>
        <w:t xml:space="preserve">: Data source declaration (DOI or IRB) required</w:t>
      </w:r>
    </w:p>
    <w:p>
      <w:pPr>
        <w:numPr>
          <w:ilvl w:val="0"/>
          <w:numId w:val="1026"/>
        </w:numPr>
      </w:pPr>
      <w:r>
        <w:rPr>
          <w:b/>
          <w:bCs/>
        </w:rPr>
        <w:t xml:space="preserve">Dual-use screening</w:t>
      </w:r>
      <w:r>
        <w:t xml:space="preserve">: Automated flagging of potentially harmful applications</w:t>
      </w:r>
    </w:p>
    <w:p>
      <w:pPr>
        <w:pStyle w:val="FirstParagraph"/>
      </w:pPr>
      <w:r>
        <w:t xml:space="preserve">This enables collaborative aggregation without compromising privacy or ethical standards.</w:t>
      </w:r>
    </w:p>
    <w:bookmarkEnd w:id="38"/>
    <w:bookmarkStart w:id="39" w:name="integration-ecosystem"/>
    <w:p>
      <w:pPr>
        <w:pStyle w:val="Heading2"/>
      </w:pPr>
      <w:r>
        <w:t xml:space="preserve">Integration Ecosystem</w:t>
      </w:r>
    </w:p>
    <w:p>
      <w:pPr>
        <w:pStyle w:val="FirstParagraph"/>
      </w:pPr>
      <w:r>
        <w:t xml:space="preserve">Confluencia 3.0 integrates with existing tools through bridge architecture:</w:t>
      </w:r>
    </w:p>
    <w:p>
      <w:pPr>
        <w:pStyle w:val="BodyText"/>
      </w:pPr>
      <w:r>
        <w:rPr>
          <w:b/>
          <w:bCs/>
        </w:rPr>
        <w:t xml:space="preserve">External tool integration:</w:t>
      </w:r>
    </w:p>
    <w:p>
      <w:pPr>
        <w:numPr>
          <w:ilvl w:val="0"/>
          <w:numId w:val="1027"/>
        </w:numPr>
      </w:pPr>
      <w:r>
        <w:rPr>
          <w:b/>
          <w:bCs/>
        </w:rPr>
        <w:t xml:space="preserve">ViennaRNA</w:t>
      </w:r>
      <w:r>
        <w:t xml:space="preserve">: Secondary structure prediction, circ-mode folding</w:t>
      </w:r>
    </w:p>
    <w:p>
      <w:pPr>
        <w:numPr>
          <w:ilvl w:val="0"/>
          <w:numId w:val="1027"/>
        </w:numPr>
      </w:pPr>
      <w:r>
        <w:rPr>
          <w:b/>
          <w:bCs/>
        </w:rPr>
        <w:t xml:space="preserve">ESM2</w:t>
      </w:r>
      <w:r>
        <w:t xml:space="preserve">: Protein embedding for epitope prediction</w:t>
      </w:r>
    </w:p>
    <w:p>
      <w:pPr>
        <w:numPr>
          <w:ilvl w:val="0"/>
          <w:numId w:val="1027"/>
        </w:numPr>
      </w:pPr>
      <w:r>
        <w:rPr>
          <w:b/>
          <w:bCs/>
        </w:rPr>
        <w:t xml:space="preserve">NetMHCpan</w:t>
      </w:r>
      <w:r>
        <w:t xml:space="preserve">: MHC binding affinity prediction</w:t>
      </w:r>
    </w:p>
    <w:p>
      <w:pPr>
        <w:numPr>
          <w:ilvl w:val="0"/>
          <w:numId w:val="1027"/>
        </w:numPr>
      </w:pPr>
      <w:r>
        <w:rPr>
          <w:b/>
          <w:bCs/>
        </w:rPr>
        <w:t xml:space="preserve">OpenBabel</w:t>
      </w:r>
      <w:r>
        <w:t xml:space="preserve">: Chemical structure handling for drug prediction</w:t>
      </w:r>
    </w:p>
    <w:p>
      <w:pPr>
        <w:numPr>
          <w:ilvl w:val="0"/>
          <w:numId w:val="1027"/>
        </w:numPr>
      </w:pPr>
      <w:r>
        <w:rPr>
          <w:b/>
          <w:bCs/>
        </w:rPr>
        <w:t xml:space="preserve">TorusFold</w:t>
      </w:r>
      <w:r>
        <w:t xml:space="preserve">: circRNA 3D structure prediction with BSJ closure</w:t>
      </w:r>
    </w:p>
    <w:p>
      <w:pPr>
        <w:pStyle w:val="FirstParagraph"/>
      </w:pPr>
      <w:r>
        <w:rPr>
          <w:b/>
          <w:bCs/>
        </w:rPr>
        <w:t xml:space="preserve">Confluencia 2.0 backward compatibility:</w:t>
      </w:r>
    </w:p>
    <w:p>
      <w:pPr>
        <w:numPr>
          <w:ilvl w:val="0"/>
          <w:numId w:val="1028"/>
        </w:numPr>
      </w:pPr>
      <w:r>
        <w:t xml:space="preserve">DrugPredictionBridge: Access 2.0 drug screening models</w:t>
      </w:r>
    </w:p>
    <w:p>
      <w:pPr>
        <w:numPr>
          <w:ilvl w:val="0"/>
          <w:numId w:val="1028"/>
        </w:numPr>
      </w:pPr>
      <w:r>
        <w:t xml:space="preserve">PKModelBridge: Access 2.0 pharmacokinetic models</w:t>
      </w:r>
    </w:p>
    <w:p>
      <w:pPr>
        <w:numPr>
          <w:ilvl w:val="0"/>
          <w:numId w:val="1028"/>
        </w:numPr>
      </w:pPr>
      <w:r>
        <w:t xml:space="preserve">EpitopePredictionBridge: Access 2.0 epitope prediction</w:t>
      </w:r>
    </w:p>
    <w:p>
      <w:pPr>
        <w:numPr>
          <w:ilvl w:val="0"/>
          <w:numId w:val="1028"/>
        </w:numPr>
      </w:pPr>
      <w:r>
        <w:t xml:space="preserve">JointEvaluationBridge: Access 2.0 joint scoring</w:t>
      </w:r>
    </w:p>
    <w:p>
      <w:pPr>
        <w:pStyle w:val="FirstParagraph"/>
      </w:pPr>
      <w:r>
        <w:rPr>
          <w:b/>
          <w:bCs/>
        </w:rPr>
        <w:t xml:space="preserve">Export formats:</w:t>
      </w:r>
    </w:p>
    <w:p>
      <w:pPr>
        <w:numPr>
          <w:ilvl w:val="0"/>
          <w:numId w:val="1029"/>
        </w:numPr>
      </w:pPr>
      <w:r>
        <w:t xml:space="preserve">Simulation results: JSON, CSV, HDF5</w:t>
      </w:r>
    </w:p>
    <w:p>
      <w:pPr>
        <w:numPr>
          <w:ilvl w:val="0"/>
          <w:numId w:val="1029"/>
        </w:numPr>
      </w:pPr>
      <w:r>
        <w:t xml:space="preserve">CircRNA designs: GenBank, FASTA</w:t>
      </w:r>
    </w:p>
    <w:p>
      <w:pPr>
        <w:numPr>
          <w:ilvl w:val="0"/>
          <w:numId w:val="1029"/>
        </w:numPr>
      </w:pPr>
      <w:r>
        <w:t xml:space="preserve">Structures: PDB, mmCIF</w:t>
      </w:r>
    </w:p>
    <w:p>
      <w:pPr>
        <w:numPr>
          <w:ilvl w:val="0"/>
          <w:numId w:val="1029"/>
        </w:numPr>
      </w:pPr>
      <w:r>
        <w:t xml:space="preserve">Reports: PDF, HTML</w:t>
      </w:r>
    </w:p>
    <w:bookmarkEnd w:id="39"/>
    <w:bookmarkStart w:id="40" w:name="what-remains-unvalidated"/>
    <w:p>
      <w:pPr>
        <w:pStyle w:val="Heading2"/>
      </w:pPr>
      <w:r>
        <w:t xml:space="preserve">What Remains Unvalidated</w:t>
      </w:r>
    </w:p>
    <w:p>
      <w:pPr>
        <w:pStyle w:val="FirstParagraph"/>
      </w:pPr>
      <w:r>
        <w:t xml:space="preserve">Confluencia 3.0 makes claims that require wet-lab validation:</w:t>
      </w:r>
    </w:p>
    <w:p>
      <w:pPr>
        <w:pStyle w:val="BodyText"/>
      </w:pPr>
      <w:r>
        <w:rPr>
          <w:b/>
          <w:bCs/>
        </w:rPr>
        <w:t xml:space="preserve">Claim 1: CirculaPK captures circRNA-specific PK bottlenecks.</w:t>
      </w:r>
      <w:r>
        <w:t xml:space="preserve"> </w:t>
      </w:r>
      <w:r>
        <w:rPr>
          <w:i/>
          <w:iCs/>
        </w:rPr>
        <w:t xml:space="preserve">Status:</w:t>
      </w:r>
      <w:r>
        <w:t xml:space="preserve"> </w:t>
      </w:r>
      <w:r>
        <w:t xml:space="preserve">Validated against literature values (4.1% error on half-lives), but independent experimental confirmation needed. The endosomal escape parameter shows 158% error, uncertainty in this rate-limiting step.</w:t>
      </w:r>
    </w:p>
    <w:p>
      <w:pPr>
        <w:pStyle w:val="BodyText"/>
      </w:pPr>
      <w:r>
        <w:rPr>
          <w:b/>
          <w:bCs/>
        </w:rPr>
        <w:t xml:space="preserve">Claim 2: Pathway-resolved immunogenicity scoring improves over GC baseline.</w:t>
      </w:r>
      <w:r>
        <w:t xml:space="preserve"> </w:t>
      </w:r>
      <w:r>
        <w:rPr>
          <w:i/>
          <w:iCs/>
        </w:rPr>
        <w:t xml:space="preserve">Status:</w:t>
      </w:r>
      <w:r>
        <w:t xml:space="preserve"> </w:t>
      </w:r>
      <w:r>
        <w:t xml:space="preserve">Statistically significant improvement (</w:t>
      </w:r>
      <m:oMath>
        <m:r>
          <m:rPr>
            <m:sty m:val="p"/>
          </m:rPr>
          <m:t>Δ</m:t>
        </m:r>
      </m:oMath>
      <w:r>
        <w:t xml:space="preserve">AIC=-8.2, p=0.004), but N=50 is modest. MDA5 and PKR pathways show 0% classification accuracy, indicating incomplete mechanistic understanding.</w:t>
      </w:r>
    </w:p>
    <w:p>
      <w:pPr>
        <w:pStyle w:val="BodyText"/>
      </w:pPr>
      <w:r>
        <w:rPr>
          <w:b/>
          <w:bCs/>
        </w:rPr>
        <w:t xml:space="preserve">Claim 3: TNBC subtype simulation predicts treatment response.</w:t>
      </w:r>
      <w:r>
        <w:t xml:space="preserve"> </w:t>
      </w:r>
      <w:r>
        <w:rPr>
          <w:i/>
          <w:iCs/>
        </w:rPr>
        <w:t xml:space="preserve">Status:</w:t>
      </w:r>
      <w:r>
        <w:t xml:space="preserve"> </w:t>
      </w:r>
      <w:r>
        <w:t xml:space="preserve">Internal consistency validated via parameter-swap experiment, but external prediction not yet tested. The 2.6x IM vs. BLIS response difference reflects input parameterization rather than novel discovery.</w:t>
      </w:r>
    </w:p>
    <w:p>
      <w:pPr>
        <w:pStyle w:val="BodyText"/>
      </w:pPr>
      <w:r>
        <w:rPr>
          <w:b/>
          <w:bCs/>
        </w:rPr>
        <w:t xml:space="preserve">Claim 4: EventBus architecture enables longevity.</w:t>
      </w:r>
      <w:r>
        <w:t xml:space="preserve"> </w:t>
      </w:r>
      <w:r>
        <w:rPr>
          <w:i/>
          <w:iCs/>
        </w:rPr>
        <w:t xml:space="preserve">Status:</w:t>
      </w:r>
      <w:r>
        <w:t xml:space="preserve"> </w:t>
      </w:r>
      <w:r>
        <w:t xml:space="preserve">Architectural claim, not scientific claim. Cannot be validated empirically until algorithms are deprecated and replaced.</w:t>
      </w:r>
    </w:p>
    <w:bookmarkEnd w:id="40"/>
    <w:bookmarkStart w:id="41" w:name="X71de25b31eea6d1514caf45daf08b0e8a69dec6"/>
    <w:p>
      <w:pPr>
        <w:pStyle w:val="Heading2"/>
      </w:pPr>
      <w:r>
        <w:t xml:space="preserve">The circRNA Data Challenge and Our Multi-Source Solution</w:t>
      </w:r>
    </w:p>
    <w:p>
      <w:pPr>
        <w:pStyle w:val="FirstParagraph"/>
      </w:pPr>
      <w:r>
        <w:t xml:space="preserve">The fundamental challenge for circRNA computational work is data scarcity:</w:t>
      </w:r>
    </w:p>
    <w:p>
      <w:pPr>
        <w:pStyle w:val="BodyText"/>
      </w:pPr>
      <w:r>
        <w:rPr>
          <w:b/>
          <w:bCs/>
        </w:rPr>
        <w:t xml:space="preserve">Structural data:</w:t>
      </w:r>
      <w:r>
        <w:t xml:space="preserve"> </w:t>
      </w:r>
      <w:r>
        <w:t xml:space="preserve">PDB contains 0 experimental circRNA structures as of 2026.</w:t>
      </w:r>
    </w:p>
    <w:p>
      <w:pPr>
        <w:pStyle w:val="BodyText"/>
      </w:pPr>
      <w:r>
        <w:rPr>
          <w:b/>
          <w:bCs/>
        </w:rPr>
        <w:t xml:space="preserve">PK data:</w:t>
      </w:r>
      <w:r>
        <w:t xml:space="preserve"> </w:t>
      </w:r>
      <w:r>
        <w:t xml:space="preserve">Limited to 4-5 constructs in literature (Wesselhoeft 2018).</w:t>
      </w:r>
    </w:p>
    <w:p>
      <w:pPr>
        <w:pStyle w:val="BodyText"/>
      </w:pPr>
      <w:r>
        <w:rPr>
          <w:b/>
          <w:bCs/>
        </w:rPr>
        <w:t xml:space="preserve">Immunogenicity data:</w:t>
      </w:r>
      <w:r>
        <w:t xml:space="preserve"> </w:t>
      </w:r>
      <w:r>
        <w:t xml:space="preserve">Chen 2019 provides 7 sequences with IFN-</w:t>
      </w:r>
      <m:oMath>
        <m:r>
          <m:t>β</m:t>
        </m:r>
      </m:oMath>
      <w:r>
        <w:t xml:space="preserve"> </w:t>
      </w:r>
      <w:r>
        <w:t xml:space="preserve">measurements.</w:t>
      </w:r>
    </w:p>
    <w:p>
      <w:pPr>
        <w:pStyle w:val="BodyText"/>
      </w:pPr>
      <w:r>
        <w:rPr>
          <w:b/>
          <w:bCs/>
        </w:rPr>
        <w:t xml:space="preserve">Our multi-source training data solution:</w:t>
      </w:r>
    </w:p>
    <w:p>
      <w:pPr>
        <w:numPr>
          <w:ilvl w:val="0"/>
          <w:numId w:val="1030"/>
        </w:numPr>
      </w:pPr>
      <w:r>
        <w:rPr>
          <w:b/>
          <w:bCs/>
        </w:rPr>
        <w:t xml:space="preserve">PDB circularized</w:t>
      </w:r>
      <w:r>
        <w:t xml:space="preserve">: 7 high-confidence structures from circularizing linear RNA structures (lengths 20-27 nt, confidence</w:t>
      </w:r>
      <w:r>
        <w:t xml:space="preserve"> </w:t>
      </w:r>
      <m:oMath>
        <m:r>
          <m:rPr>
            <m:sty m:val="p"/>
          </m:rPr>
          <m:t>∼</m:t>
        </m:r>
      </m:oMath>
      <w:r>
        <w:t xml:space="preserve">0.95)</w:t>
      </w:r>
    </w:p>
    <w:p>
      <w:pPr>
        <w:numPr>
          <w:ilvl w:val="0"/>
          <w:numId w:val="1030"/>
        </w:numPr>
      </w:pPr>
      <w:r>
        <w:rPr>
          <w:b/>
          <w:bCs/>
        </w:rPr>
        <w:t xml:space="preserve">ViennaRNA circ-mode</w:t>
      </w:r>
      <w:r>
        <w:t xml:space="preserve">: Secondary structure predictions provide distance constraints</w:t>
      </w:r>
    </w:p>
    <w:p>
      <w:pPr>
        <w:numPr>
          <w:ilvl w:val="0"/>
          <w:numId w:val="1030"/>
        </w:numPr>
      </w:pPr>
      <w:r>
        <w:rPr>
          <w:b/>
          <w:bCs/>
        </w:rPr>
        <w:t xml:space="preserve">IsRNAcirc</w:t>
      </w:r>
      <w:r>
        <w:t xml:space="preserve">: Coarse-grained 3D predictions with circular constraints</w:t>
      </w:r>
    </w:p>
    <w:p>
      <w:pPr>
        <w:numPr>
          <w:ilvl w:val="0"/>
          <w:numId w:val="1030"/>
        </w:numPr>
      </w:pPr>
      <w:r>
        <w:rPr>
          <w:b/>
          <w:bCs/>
        </w:rPr>
        <w:t xml:space="preserve">icSHAPE-constrained</w:t>
      </w:r>
      <w:r>
        <w:t xml:space="preserve">: Experimental secondary structure data guides folding</w:t>
      </w:r>
    </w:p>
    <w:p>
      <w:pPr>
        <w:numPr>
          <w:ilvl w:val="0"/>
          <w:numId w:val="1030"/>
        </w:numPr>
      </w:pPr>
      <w:r>
        <w:rPr>
          <w:b/>
          <w:bCs/>
        </w:rPr>
        <w:t xml:space="preserve">Rfam consensus</w:t>
      </w:r>
      <w:r>
        <w:t xml:space="preserve">: Evolutionary conservation provides contact predictions</w:t>
      </w:r>
    </w:p>
    <w:p>
      <w:pPr>
        <w:pStyle w:val="FirstParagraph"/>
      </w:pPr>
      <w:r>
        <w:t xml:space="preserve">This heterogeneous training data enables models to learn diverse folds beyond trivial helices, but also introduces label noise and validation challenges.</w:t>
      </w:r>
    </w:p>
    <w:p>
      <w:pPr>
        <w:pStyle w:val="BodyText"/>
      </w:pPr>
      <w:r>
        <w:rPr>
          <w:b/>
          <w:bCs/>
        </w:rPr>
        <w:t xml:space="preserve">Circ-CASP: Community Benchmark.</w:t>
      </w:r>
      <w:r>
        <w:t xml:space="preserve"> </w:t>
      </w:r>
      <w:r>
        <w:t xml:space="preserve">We established Circ-CASP, the first community benchmark for circRNA 3D structure prediction, providing the multi-source training data (public), 30 hidden test structures, standardized evaluation metrics (RMSD, BSJ closure, bond consistency, pair F1), and six baseline methods. The competition features both a compute-limited regular track and an unlimited</w:t>
      </w:r>
      <w:r>
        <w:t xml:space="preserve"> </w:t>
      </w:r>
      <w:r>
        <w:t xml:space="preserve">“oracle”</w:t>
      </w:r>
      <w:r>
        <w:t xml:space="preserve"> </w:t>
      </w:r>
      <w:r>
        <w:t xml:space="preserve">track to establish theoretical upper bounds. Results: TBD (competition runs July-August 2026). Until experimental circRNA structure data becomes available, the multi-source pipeline provides heterogeneous training data enabling TorusFold to learn diverse folds beyond trivial helices.</w:t>
      </w:r>
    </w:p>
    <w:bookmarkEnd w:id="41"/>
    <w:bookmarkStart w:id="42" w:name="power-analysis"/>
    <w:p>
      <w:pPr>
        <w:pStyle w:val="Heading2"/>
      </w:pPr>
      <w:r>
        <w:t xml:space="preserve">Power Analysis</w:t>
      </w:r>
    </w:p>
    <w:p>
      <w:pPr>
        <w:pStyle w:val="FirstParagraph"/>
      </w:pPr>
      <w:r>
        <w:rPr>
          <w:b/>
          <w:bCs/>
        </w:rPr>
        <w:t xml:space="preserve">Immunogenicity correlation (r=0.91, N=7).</w:t>
      </w:r>
    </w:p>
    <w:p>
      <w:pPr>
        <w:numPr>
          <w:ilvl w:val="0"/>
          <w:numId w:val="1031"/>
        </w:numPr>
      </w:pPr>
      <w:r>
        <w:t xml:space="preserve">Standard error of r: SE</w:t>
      </w:r>
      <w:r>
        <w:t xml:space="preserve"> </w:t>
      </w:r>
      <m:oMath>
        <m:r>
          <m:rPr>
            <m:sty m:val="p"/>
          </m:rPr>
          <m:t>≈</m:t>
        </m:r>
      </m:oMath>
      <w:r>
        <w:t xml:space="preserve"> </w:t>
      </w:r>
      <w:r>
        <w:t xml:space="preserve">0.18</w:t>
      </w:r>
    </w:p>
    <w:p>
      <w:pPr>
        <w:numPr>
          <w:ilvl w:val="0"/>
          <w:numId w:val="1031"/>
        </w:numPr>
      </w:pPr>
      <w:r>
        <w:t xml:space="preserve">95% CI: [0.47, 0.99] (very wide)</w:t>
      </w:r>
    </w:p>
    <w:p>
      <w:pPr>
        <w:numPr>
          <w:ilvl w:val="0"/>
          <w:numId w:val="1031"/>
        </w:numPr>
      </w:pPr>
      <w:r>
        <w:t xml:space="preserve">Power to distinguish r=0.91 from r=0.50 at</w:t>
      </w:r>
      <w:r>
        <w:t xml:space="preserve"> </w:t>
      </w:r>
      <m:oMath>
        <m:r>
          <m:t>α</m:t>
        </m:r>
      </m:oMath>
      <w:r>
        <w:t xml:space="preserve">=0.05:</w:t>
      </w:r>
      <w:r>
        <w:t xml:space="preserve"> </w:t>
      </w:r>
      <m:oMath>
        <m:r>
          <m:rPr>
            <m:sty m:val="p"/>
          </m:rPr>
          <m:t>∼</m:t>
        </m:r>
      </m:oMath>
      <w:r>
        <w:t xml:space="preserve">0.35</w:t>
      </w:r>
    </w:p>
    <w:p>
      <w:pPr>
        <w:numPr>
          <w:ilvl w:val="0"/>
          <w:numId w:val="1031"/>
        </w:numPr>
      </w:pPr>
      <w:r>
        <w:t xml:space="preserve">Required N for power=0.80:</w:t>
      </w:r>
      <w:r>
        <w:t xml:space="preserve"> </w:t>
      </w:r>
      <m:oMath>
        <m:r>
          <m:rPr>
            <m:sty m:val="p"/>
          </m:rPr>
          <m:t>∼</m:t>
        </m:r>
      </m:oMath>
      <w:r>
        <w:t xml:space="preserve">20 sequences</w:t>
      </w:r>
    </w:p>
    <w:p>
      <w:pPr>
        <w:pStyle w:val="FirstParagraph"/>
      </w:pPr>
      <w:r>
        <w:rPr>
          <w:b/>
          <w:bCs/>
        </w:rPr>
        <w:t xml:space="preserve">PK model comparison (N=4).</w:t>
      </w:r>
    </w:p>
    <w:p>
      <w:pPr>
        <w:numPr>
          <w:ilvl w:val="0"/>
          <w:numId w:val="1032"/>
        </w:numPr>
      </w:pPr>
      <w:r>
        <w:t xml:space="preserve">Six-compartment AIC=18.2 vs. two-compartment AIC=22.7</w:t>
      </w:r>
    </w:p>
    <w:p>
      <w:pPr>
        <w:numPr>
          <w:ilvl w:val="0"/>
          <w:numId w:val="1032"/>
        </w:numPr>
      </w:pPr>
      <m:oMath>
        <m:r>
          <m:rPr>
            <m:sty m:val="p"/>
          </m:rPr>
          <m:t>Δ</m:t>
        </m:r>
      </m:oMath>
      <w:r>
        <w:t xml:space="preserve">AIC=4.5 favors six-compartment, but not significant at N=4</w:t>
      </w:r>
    </w:p>
    <w:p>
      <w:pPr>
        <w:numPr>
          <w:ilvl w:val="0"/>
          <w:numId w:val="1032"/>
        </w:numPr>
      </w:pPr>
      <w:r>
        <w:t xml:space="preserve">Required N for power=0.80 at</w:t>
      </w:r>
      <w:r>
        <w:t xml:space="preserve"> </w:t>
      </w:r>
      <m:oMath>
        <m:r>
          <m:t>α</m:t>
        </m:r>
      </m:oMath>
      <w:r>
        <w:t xml:space="preserve">=0.05:</w:t>
      </w:r>
      <w:r>
        <w:t xml:space="preserve"> </w:t>
      </w:r>
      <m:oMath>
        <m:r>
          <m:rPr>
            <m:sty m:val="p"/>
          </m:rPr>
          <m:t>∼</m:t>
        </m:r>
      </m:oMath>
      <w:r>
        <w:t xml:space="preserve">12 constructs</w:t>
      </w:r>
    </w:p>
    <w:p>
      <w:pPr>
        <w:pStyle w:val="FirstParagraph"/>
      </w:pPr>
      <w:r>
        <w:rPr>
          <w:b/>
          <w:bCs/>
        </w:rPr>
        <w:t xml:space="preserve">Subtype comparison (N=4 subtypes).</w:t>
      </w:r>
    </w:p>
    <w:p>
      <w:pPr>
        <w:numPr>
          <w:ilvl w:val="0"/>
          <w:numId w:val="1033"/>
        </w:numPr>
      </w:pPr>
      <w:r>
        <w:t xml:space="preserve">IM vs. BLIS difference: 2.6x (p&lt;0.01)</w:t>
      </w:r>
    </w:p>
    <w:p>
      <w:pPr>
        <w:numPr>
          <w:ilvl w:val="0"/>
          <w:numId w:val="1033"/>
        </w:numPr>
      </w:pPr>
      <w:r>
        <w:t xml:space="preserve">Within-subtype variance: adequately characterized</w:t>
      </w:r>
    </w:p>
    <w:p>
      <w:pPr>
        <w:numPr>
          <w:ilvl w:val="0"/>
          <w:numId w:val="1033"/>
        </w:numPr>
      </w:pPr>
      <w:r>
        <w:t xml:space="preserve">Cross-subtype inference: limited by N=4</w:t>
      </w:r>
    </w:p>
    <w:bookmarkEnd w:id="42"/>
    <w:bookmarkStart w:id="43" w:name="the-federated-sharing-response"/>
    <w:p>
      <w:pPr>
        <w:pStyle w:val="Heading2"/>
      </w:pPr>
      <w:r>
        <w:t xml:space="preserve">The Federated Sharing Response</w:t>
      </w:r>
    </w:p>
    <w:p>
      <w:pPr>
        <w:pStyle w:val="FirstParagraph"/>
      </w:pPr>
      <w:r>
        <w:t xml:space="preserve">Confluencia Hub implements federated model sharing to address data scarcity:</w:t>
      </w:r>
    </w:p>
    <w:p>
      <w:pPr>
        <w:pStyle w:val="BodyText"/>
      </w:pPr>
      <w:r>
        <w:rPr>
          <w:b/>
          <w:bCs/>
        </w:rPr>
        <w:t xml:space="preserve">Upload process:</w:t>
      </w:r>
    </w:p>
    <w:p>
      <w:pPr>
        <w:numPr>
          <w:ilvl w:val="0"/>
          <w:numId w:val="1034"/>
        </w:numPr>
      </w:pPr>
      <w:r>
        <w:t xml:space="preserve">User trains model locally on private data</w:t>
      </w:r>
    </w:p>
    <w:p>
      <w:pPr>
        <w:numPr>
          <w:ilvl w:val="0"/>
          <w:numId w:val="1034"/>
        </w:numPr>
      </w:pPr>
      <w:r>
        <w:t xml:space="preserve">Model bundle (architecture + weights + hyperparameters) uploaded</w:t>
      </w:r>
    </w:p>
    <w:p>
      <w:pPr>
        <w:numPr>
          <w:ilvl w:val="0"/>
          <w:numId w:val="1034"/>
        </w:numPr>
      </w:pPr>
      <w:r>
        <w:t xml:space="preserve">Ethics-gated upload: DOI or IRB number required</w:t>
      </w:r>
    </w:p>
    <w:p>
      <w:pPr>
        <w:numPr>
          <w:ilvl w:val="0"/>
          <w:numId w:val="1034"/>
        </w:numPr>
      </w:pPr>
      <w:r>
        <w:t xml:space="preserve">Dual-use screening: Automated flagging of harmful applications</w:t>
      </w:r>
    </w:p>
    <w:p>
      <w:pPr>
        <w:numPr>
          <w:ilvl w:val="0"/>
          <w:numId w:val="1034"/>
        </w:numPr>
      </w:pPr>
      <w:r>
        <w:t xml:space="preserve">SHA256 hash verification: Mitigates code execution risks</w:t>
      </w:r>
    </w:p>
    <w:p>
      <w:pPr>
        <w:pStyle w:val="FirstParagraph"/>
      </w:pPr>
      <w:r>
        <w:rPr>
          <w:b/>
          <w:bCs/>
        </w:rPr>
        <w:t xml:space="preserve">Download process:</w:t>
      </w:r>
    </w:p>
    <w:p>
      <w:pPr>
        <w:numPr>
          <w:ilvl w:val="0"/>
          <w:numId w:val="1035"/>
        </w:numPr>
      </w:pPr>
      <w:r>
        <w:t xml:space="preserve">User searches model registry by task/organism/conditions</w:t>
      </w:r>
    </w:p>
    <w:p>
      <w:pPr>
        <w:numPr>
          <w:ilvl w:val="0"/>
          <w:numId w:val="1035"/>
        </w:numPr>
      </w:pPr>
      <w:r>
        <w:t xml:space="preserve">Model bundle downloaded and loaded</w:t>
      </w:r>
    </w:p>
    <w:p>
      <w:pPr>
        <w:numPr>
          <w:ilvl w:val="0"/>
          <w:numId w:val="1035"/>
        </w:numPr>
      </w:pPr>
      <w:r>
        <w:t xml:space="preserve">Fine-tuning on local data optional</w:t>
      </w:r>
    </w:p>
    <w:p>
      <w:pPr>
        <w:pStyle w:val="FirstParagraph"/>
      </w:pPr>
      <w:r>
        <w:rPr>
          <w:b/>
          <w:bCs/>
        </w:rPr>
        <w:t xml:space="preserve">Privacy preservation:</w:t>
      </w:r>
    </w:p>
    <w:p>
      <w:pPr>
        <w:numPr>
          <w:ilvl w:val="0"/>
          <w:numId w:val="1036"/>
        </w:numPr>
      </w:pPr>
      <w:r>
        <w:t xml:space="preserve">No raw sequences or SMILES uploaded</w:t>
      </w:r>
    </w:p>
    <w:p>
      <w:pPr>
        <w:numPr>
          <w:ilvl w:val="0"/>
          <w:numId w:val="1036"/>
        </w:numPr>
      </w:pPr>
      <w:r>
        <w:t xml:space="preserve">Statistical traces can be stripped before upload</w:t>
      </w:r>
    </w:p>
    <w:p>
      <w:pPr>
        <w:numPr>
          <w:ilvl w:val="0"/>
          <w:numId w:val="1036"/>
        </w:numPr>
      </w:pPr>
      <w:r>
        <w:t xml:space="preserve">Model weights are abstract representations</w:t>
      </w:r>
    </w:p>
    <w:bookmarkEnd w:id="43"/>
    <w:bookmarkEnd w:id="44"/>
    <w:bookmarkStart w:id="45" w:name="limitations"/>
    <w:p>
      <w:pPr>
        <w:pStyle w:val="Heading1"/>
      </w:pPr>
      <w:r>
        <w:t xml:space="preserve">Limitations</w:t>
      </w:r>
    </w:p>
    <w:p>
      <w:pPr>
        <w:pStyle w:val="FirstParagraph"/>
      </w:pPr>
      <w:r>
        <w:t xml:space="preserve">Confluencia 3.0 has several limitations:</w:t>
      </w:r>
    </w:p>
    <w:p>
      <w:pPr>
        <w:pStyle w:val="BodyText"/>
      </w:pPr>
      <w:r>
        <w:rPr>
          <w:b/>
          <w:bCs/>
        </w:rPr>
        <w:t xml:space="preserve">Data scarcity.</w:t>
      </w:r>
      <w:r>
        <w:t xml:space="preserve"> </w:t>
      </w:r>
      <w:r>
        <w:t xml:space="preserve">circRNA experimental data is limited: 0 PDB structures, 4-5 PK constructs, 7 immunogenicity measurements. Our multi-source training data solution introduces label noise and validation challenges. All claims are hypothesis-generating pending wet-lab validation.</w:t>
      </w:r>
    </w:p>
    <w:p>
      <w:pPr>
        <w:pStyle w:val="BodyText"/>
      </w:pPr>
      <w:r>
        <w:rPr>
          <w:b/>
          <w:bCs/>
        </w:rPr>
        <w:t xml:space="preserve">Small sample sizes.</w:t>
      </w:r>
      <w:r>
        <w:t xml:space="preserve"> </w:t>
      </w:r>
      <w:r>
        <w:t xml:space="preserve">Validation benchmarks have N=4-7, limiting statistical power. Confidence intervals are wide, and model comparison is underpowered. Larger validation studies are needed for definitive conclusions.</w:t>
      </w:r>
    </w:p>
    <w:p>
      <w:pPr>
        <w:pStyle w:val="BodyText"/>
      </w:pPr>
      <w:r>
        <w:rPr>
          <w:b/>
          <w:bCs/>
        </w:rPr>
        <w:t xml:space="preserve">Simplified biology.</w:t>
      </w:r>
      <w:r>
        <w:t xml:space="preserve"> </w:t>
      </w:r>
      <w:r>
        <w:t xml:space="preserve">The TNBC simulation abstracts complex tumor biology into parameterized dynamics. Real tumors exhibit heterogeneity beyond four subtypes, and the simulation cannot capture all resistance mechanisms.</w:t>
      </w:r>
    </w:p>
    <w:p>
      <w:pPr>
        <w:pStyle w:val="BodyText"/>
      </w:pPr>
      <w:r>
        <w:rPr>
          <w:b/>
          <w:bCs/>
        </w:rPr>
        <w:t xml:space="preserve">No experimental validation.</w:t>
      </w:r>
      <w:r>
        <w:t xml:space="preserve"> </w:t>
      </w:r>
      <w:r>
        <w:t xml:space="preserve">All results are computational. Wet-lab validation (ongoing) is required to confirm predictive utility.</w:t>
      </w:r>
    </w:p>
    <w:p>
      <w:pPr>
        <w:pStyle w:val="BodyText"/>
      </w:pPr>
      <w:r>
        <w:rPr>
          <w:b/>
          <w:bCs/>
        </w:rPr>
        <w:t xml:space="preserve">Computational requirements.</w:t>
      </w:r>
      <w:r>
        <w:t xml:space="preserve"> </w:t>
      </w:r>
      <w:r>
        <w:t xml:space="preserve">Full simulation with GPU acceleration requires NVIDIA GPU with</w:t>
      </w:r>
      <w:r>
        <w:t xml:space="preserve"> </w:t>
      </w:r>
      <m:oMath>
        <m:r>
          <m:rPr>
            <m:sty m:val="p"/>
          </m:rPr>
          <m:t>≥</m:t>
        </m:r>
      </m:oMath>
      <w:r>
        <w:t xml:space="preserve">8GB VRAM. Streamlit UI requires stable internet for cloud deployment. PyQt6 desktop IDE provides offline alternative.</w:t>
      </w:r>
    </w:p>
    <w:p>
      <w:pPr>
        <w:pStyle w:val="BodyText"/>
      </w:pPr>
      <w:r>
        <w:rPr>
          <w:b/>
          <w:bCs/>
        </w:rPr>
        <w:t xml:space="preserve">Algorithm dependencies.</w:t>
      </w:r>
      <w:r>
        <w:t xml:space="preserve"> </w:t>
      </w:r>
      <w:r>
        <w:t xml:space="preserve">While EventBus architecture enables algorithm replacement, current implementations depend on external tools (ViennaRNA, ESM2) that may have licensing or availability restrictions.</w:t>
      </w:r>
    </w:p>
    <w:bookmarkEnd w:id="45"/>
    <w:bookmarkStart w:id="46" w:name="data-availability-statement"/>
    <w:p>
      <w:pPr>
        <w:pStyle w:val="Heading1"/>
      </w:pPr>
      <w:r>
        <w:t xml:space="preserve">Data Availability Statement</w:t>
      </w:r>
    </w:p>
    <w:p>
      <w:pPr>
        <w:pStyle w:val="FirstParagraph"/>
      </w:pPr>
      <w:r>
        <w:rPr>
          <w:b/>
          <w:bCs/>
        </w:rPr>
        <w:t xml:space="preserve">Simulation data.</w:t>
      </w:r>
      <w:r>
        <w:t xml:space="preserve"> </w:t>
      </w:r>
      <w:r>
        <w:t xml:space="preserve">All simulation parameters and initial conditions are available in the Confluencia 3.0 code repository (github.com/RomanCohort/confluencia). Simulation outputs are reproducible via provided random seeds.</w:t>
      </w:r>
    </w:p>
    <w:p>
      <w:pPr>
        <w:pStyle w:val="BodyText"/>
      </w:pPr>
      <w:r>
        <w:rPr>
          <w:b/>
          <w:bCs/>
        </w:rPr>
        <w:t xml:space="preserve">Training data.</w:t>
      </w:r>
    </w:p>
    <w:p>
      <w:pPr>
        <w:numPr>
          <w:ilvl w:val="0"/>
          <w:numId w:val="1037"/>
        </w:numPr>
      </w:pPr>
      <w:r>
        <w:rPr>
          <w:b/>
          <w:bCs/>
        </w:rPr>
        <w:t xml:space="preserve">circRNA structure:</w:t>
      </w:r>
      <w:r>
        <w:t xml:space="preserve"> </w:t>
      </w:r>
      <w:r>
        <w:t xml:space="preserve">Multi-source training data available via Circ-CASP competition (github.com/RomanCohort/circ-casp)</w:t>
      </w:r>
    </w:p>
    <w:p>
      <w:pPr>
        <w:numPr>
          <w:ilvl w:val="0"/>
          <w:numId w:val="1037"/>
        </w:numPr>
      </w:pPr>
      <w:r>
        <w:rPr>
          <w:b/>
          <w:bCs/>
        </w:rPr>
        <w:t xml:space="preserve">PK parameters:</w:t>
      </w:r>
      <w:r>
        <w:t xml:space="preserve"> </w:t>
      </w:r>
      <w:r>
        <w:t xml:space="preserve">Literature-derived parameters cited in Methods</w:t>
      </w:r>
    </w:p>
    <w:p>
      <w:pPr>
        <w:numPr>
          <w:ilvl w:val="0"/>
          <w:numId w:val="1037"/>
        </w:numPr>
      </w:pPr>
      <w:r>
        <w:rPr>
          <w:b/>
          <w:bCs/>
        </w:rPr>
        <w:t xml:space="preserve">Immunogenicity:</w:t>
      </w:r>
      <w:r>
        <w:t xml:space="preserve"> </w:t>
      </w:r>
      <w:r>
        <w:t xml:space="preserve">Chen et al. (2019) IFN-</w:t>
      </w:r>
      <m:oMath>
        <m:r>
          <m:t>β</m:t>
        </m:r>
      </m:oMath>
      <w:r>
        <w:t xml:space="preserve"> </w:t>
      </w:r>
      <w:r>
        <w:t xml:space="preserve">measurements (N=7) available in Supplementary Data 1</w:t>
      </w:r>
    </w:p>
    <w:p>
      <w:pPr>
        <w:pStyle w:val="FirstParagraph"/>
      </w:pPr>
      <w:r>
        <w:rPr>
          <w:b/>
          <w:bCs/>
        </w:rPr>
        <w:t xml:space="preserve">Validation data.</w:t>
      </w:r>
    </w:p>
    <w:p>
      <w:pPr>
        <w:numPr>
          <w:ilvl w:val="0"/>
          <w:numId w:val="1038"/>
        </w:numPr>
      </w:pPr>
      <w:r>
        <w:t xml:space="preserve">Wesselhoeft et al. (2018) half-life data: Supplementary Table 1</w:t>
      </w:r>
    </w:p>
    <w:p>
      <w:pPr>
        <w:numPr>
          <w:ilvl w:val="0"/>
          <w:numId w:val="1038"/>
        </w:numPr>
      </w:pPr>
      <w:r>
        <w:t xml:space="preserve">Chen et al. (2019) immunogenicity data: Supplementary Data 1</w:t>
      </w:r>
    </w:p>
    <w:p>
      <w:pPr>
        <w:numPr>
          <w:ilvl w:val="0"/>
          <w:numId w:val="1038"/>
        </w:numPr>
      </w:pPr>
      <w:r>
        <w:t xml:space="preserve">Jiang et al. (2019) TNBC subtype parameters: Table</w:t>
      </w:r>
      <w:r>
        <w:t xml:space="preserve"> </w:t>
      </w:r>
      <w:hyperlink w:anchor="tab:subtypes">
        <w:r>
          <w:rPr>
            <w:rStyle w:val="Hyperlink"/>
          </w:rPr>
          <w:t xml:space="preserve">1</w:t>
        </w:r>
      </w:hyperlink>
    </w:p>
    <w:p>
      <w:pPr>
        <w:pStyle w:val="FirstParagraph"/>
      </w:pPr>
      <w:r>
        <w:rPr>
          <w:b/>
          <w:bCs/>
        </w:rPr>
        <w:t xml:space="preserve">Confluencia Hub.</w:t>
      </w:r>
      <w:r>
        <w:t xml:space="preserve"> </w:t>
      </w:r>
      <w:r>
        <w:t xml:space="preserve">Federated model bundles available at confluencia-hub.org. Model metadata includes training data sources, performance metrics, and usage examples.</w:t>
      </w:r>
    </w:p>
    <w:p>
      <w:pPr>
        <w:pStyle w:val="BodyText"/>
      </w:pPr>
      <w:r>
        <w:rPr>
          <w:b/>
          <w:bCs/>
        </w:rPr>
        <w:t xml:space="preserve">Wet-lab validation (in progress).</w:t>
      </w:r>
      <w:r>
        <w:t xml:space="preserve"> </w:t>
      </w:r>
      <w:r>
        <w:t xml:space="preserve">We are collaborating with medical school researchers to generate experimental data: (1) IFN-</w:t>
      </w:r>
      <m:oMath>
        <m:r>
          <m:t>β</m:t>
        </m:r>
      </m:oMath>
      <w:r>
        <w:t xml:space="preserve"> </w:t>
      </w:r>
      <w:r>
        <w:t xml:space="preserve">ELISA for 15 evolved circRNA sequences in HEK293 cells, (2) half-life quantification via qRT-PCR in MDA-MB-231 and HCC1937 TNBC cell lines, (3) subtype-specific response in BLIS and IM PDX models (n=6 per group). All protocols approved by institutional IRB. Results will be reported in follow-up publication within 6 months of this submission.</w:t>
      </w:r>
    </w:p>
    <w:bookmarkEnd w:id="46"/>
    <w:bookmarkStart w:id="47" w:name="code-availability"/>
    <w:p>
      <w:pPr>
        <w:pStyle w:val="Heading1"/>
      </w:pPr>
      <w:r>
        <w:t xml:space="preserve">Code Availability</w:t>
      </w:r>
    </w:p>
    <w:p>
      <w:pPr>
        <w:pStyle w:val="FirstParagraph"/>
      </w:pPr>
      <w:r>
        <w:t xml:space="preserve">Confluencia 3.0 is available under MIT license:</w:t>
      </w:r>
    </w:p>
    <w:p>
      <w:pPr>
        <w:pStyle w:val="BodyText"/>
      </w:pPr>
      <w:r>
        <w:rPr>
          <w:b/>
          <w:bCs/>
        </w:rPr>
        <w:t xml:space="preserve">Main repository:</w:t>
      </w:r>
      <w:r>
        <w:t xml:space="preserve"> </w:t>
      </w:r>
      <w:r>
        <w:t xml:space="preserve">github.com/RomanCohort/confluencia</w:t>
      </w:r>
    </w:p>
    <w:p>
      <w:pPr>
        <w:pStyle w:val="BodyText"/>
      </w:pPr>
      <w:r>
        <w:rPr>
          <w:b/>
          <w:bCs/>
        </w:rPr>
        <w:t xml:space="preserve">Components:</w:t>
      </w:r>
    </w:p>
    <w:p>
      <w:pPr>
        <w:numPr>
          <w:ilvl w:val="0"/>
          <w:numId w:val="1039"/>
        </w:numPr>
      </w:pPr>
      <w:r>
        <w:t xml:space="preserve">Core simulation: confluencia/simulacrum/</w:t>
      </w:r>
    </w:p>
    <w:p>
      <w:pPr>
        <w:numPr>
          <w:ilvl w:val="0"/>
          <w:numId w:val="1039"/>
        </w:numPr>
      </w:pPr>
      <w:r>
        <w:t xml:space="preserve">Streamlit UI: confluencia/ui/streamlit_app.py</w:t>
      </w:r>
    </w:p>
    <w:p>
      <w:pPr>
        <w:numPr>
          <w:ilvl w:val="0"/>
          <w:numId w:val="1039"/>
        </w:numPr>
      </w:pPr>
      <w:r>
        <w:t xml:space="preserve">PyQt6 IDE: confluencia/ui/qt_main.py</w:t>
      </w:r>
    </w:p>
    <w:p>
      <w:pPr>
        <w:numPr>
          <w:ilvl w:val="0"/>
          <w:numId w:val="1039"/>
        </w:numPr>
      </w:pPr>
      <w:r>
        <w:t xml:space="preserve">R package: confluencia/R/</w:t>
      </w:r>
    </w:p>
    <w:p>
      <w:pPr>
        <w:numPr>
          <w:ilvl w:val="0"/>
          <w:numId w:val="1039"/>
        </w:numPr>
      </w:pPr>
      <w:r>
        <w:t xml:space="preserve">CLI: confluencia/cli.py</w:t>
      </w:r>
    </w:p>
    <w:p>
      <w:pPr>
        <w:pStyle w:val="FirstParagraph"/>
      </w:pPr>
      <w:r>
        <w:rPr>
          <w:b/>
          <w:bCs/>
        </w:rPr>
        <w:t xml:space="preserve">Installation:</w:t>
      </w:r>
    </w:p>
    <w:p>
      <w:pPr>
        <w:pStyle w:val="SourceCode"/>
      </w:pPr>
      <w:r>
        <w:rPr>
          <w:rStyle w:val="VerbatimChar"/>
        </w:rPr>
        <w:t xml:space="preserve">pip install confluencia-3.0</w:t>
      </w:r>
      <w:r>
        <w:br/>
      </w:r>
      <w:r>
        <w:rPr>
          <w:rStyle w:val="VerbatimChar"/>
        </w:rPr>
        <w:t xml:space="preserve">conda install -c conda-forge viennarna</w:t>
      </w:r>
    </w:p>
    <w:p>
      <w:pPr>
        <w:pStyle w:val="FirstParagraph"/>
      </w:pPr>
      <w:r>
        <w:rPr>
          <w:b/>
          <w:bCs/>
        </w:rPr>
        <w:t xml:space="preserve">Documentation:</w:t>
      </w:r>
      <w:r>
        <w:t xml:space="preserve"> </w:t>
      </w:r>
      <w:r>
        <w:t xml:space="preserve">confluencia.readthedocs.io</w:t>
      </w:r>
    </w:p>
    <w:p>
      <w:pPr>
        <w:pStyle w:val="BodyText"/>
      </w:pPr>
      <w:r>
        <w:rPr>
          <w:b/>
          <w:bCs/>
        </w:rPr>
        <w:t xml:space="preserve">Test coverage:</w:t>
      </w:r>
      <w:r>
        <w:t xml:space="preserve"> </w:t>
      </w:r>
      <w:r>
        <w:t xml:space="preserve">87% via pytest</w:t>
      </w:r>
    </w:p>
    <w:p>
      <w:pPr>
        <w:pStyle w:val="BodyText"/>
      </w:pPr>
      <w:r>
        <w:rPr>
          <w:b/>
          <w:bCs/>
        </w:rPr>
        <w:t xml:space="preserve">Circ-CASP competition:</w:t>
      </w:r>
      <w:r>
        <w:t xml:space="preserve"> </w:t>
      </w:r>
      <w:r>
        <w:t xml:space="preserve">github.com/RomanCohort/circ-casp</w:t>
      </w:r>
    </w:p>
    <w:p>
      <w:pPr>
        <w:pStyle w:val="BodyText"/>
      </w:pPr>
      <w:r>
        <w:rPr>
          <w:b/>
          <w:bCs/>
        </w:rPr>
        <w:t xml:space="preserve">Confluencia Hub:</w:t>
      </w:r>
      <w:r>
        <w:t xml:space="preserve"> </w:t>
      </w:r>
      <w:r>
        <w:t xml:space="preserve">confluencia-hub.org</w:t>
      </w:r>
    </w:p>
    <w:bookmarkEnd w:id="47"/>
    <w:bookmarkStart w:id="48" w:name="acknowledgments"/>
    <w:p>
      <w:pPr>
        <w:pStyle w:val="Heading1"/>
      </w:pPr>
      <w:r>
        <w:t xml:space="preserve">Acknowledgments</w:t>
      </w:r>
    </w:p>
    <w:p>
      <w:pPr>
        <w:pStyle w:val="FirstParagraph"/>
      </w:pPr>
      <w:r>
        <w:t xml:space="preserve">We thank the iGEM 2026 community for feedback on platform design, the ViennaRNA team for circ-mode implementation, and collaborating medical school researchers for ongoing wet-lab validation. This work was conducted as part of iGEM 2026 by the FBH (First Build High School) team for the development of circRNA-based TNBC vaccines.</w:t>
      </w:r>
    </w:p>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19" Target="media/rId19.png" /><Relationship Type="http://schemas.openxmlformats.org/officeDocument/2006/relationships/image" Id="rId31" Target="media/rId3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Confluencia 3.0: Integrated circRNA Vaccine Design with TNBC Subtype Simulation</dc:title>
  <dc:creator>iGEM FBH Team iGEM 2026, First Build High School</dc:creator>
  <cp:keywords/>
  <dcterms:created xsi:type="dcterms:W3CDTF">2026-06-27T07:21:47Z</dcterms:created>
  <dcterms:modified xsi:type="dcterms:W3CDTF">2026-06-27T07:21:47Z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Confluencia 3.0 presents a unified computational platform integrating circRNA vaccine design with TNBC molecular subtype simulation through an EventBus-first architecture coupling six subsystems (Tumor, TME, Treatment, CircRNA, Biomarker, Clinical) via 34+ event types. The platform addresses three fundamental gaps: (1) no existing platform links circRNA design to TNBC subtype-specific simulation, (2) circRNA-specific pharmacokinetic and immunogenicity features are absent in current tools, and (3) most computational biology tools require programming expertise, limiting accessibility for experimental researchers.As an extensible platform rather than a single-purpose tool, Confluencia 3.0 provides five interfaces (Python API, Streamlit web UI, CLI, R package, PyQt6 desktop IDE) targeting diverse user communities, lazy-loading backend integration (ESM2 \rightarrow ViennaRNA \rightarrow heuristic) enabling offline-first operation, and federated model sharing via Confluencia Hub with ethics-gated uploads and dual-use screening. The EventBus architecture decouples modules through pub/sub communication, allowing new algorithms to replace existing implementations without modifying other subsystems, ensuring the platform remains current as methods evolve.Module implementations include: (1) TNBC Simulacrum with spatial TME simulation (nine immune cell populations, six cytokines, three spatial compartments, subclonal evolution), (2) CirculaPK six-compartment pharmacokinetics capturing circRNA-specific bottlenecks (1-4% endosomal escape), (3) circRNA-specific innate immune sensing via MDA5/dsRNA pathway with differential m6A suppression modeling, and (4) RL-ABM closed-loop sequence optimization. Preliminary benchmarks: immunogenicity scores correlate with Chen 2019 IFN-\beta (Spearman r=0.91, N=7); PK matches Wesselhoeft 2018 half-lives (4.1% error, N=4); structure prediction backend achieves \sim2Å RMSD with guaranteed BSJ closure via physics solver. Subtype comparison experiments show IM subtype responds 2.6x better than BLIS under identical chemotherapy (N=4 subtypes, 180 days). Three circRNA therapy mechanisms implemented (miRNA sponge, protein coding, immune stimulation) with event-driven treatment dispatch.Confluencia 3.0 is designed for longevity: algorithms become outdated, but the platform architecture persists. Wet-lab validation ongoing with collaborating medical school. Code: github.com/RomanCohort/confluencia (MIT). Federated model sharing via Confluencia Hub.</vt:lpwstr>
  </property>
  <property fmtid="{D5CDD505-2E9C-101B-9397-08002B2CF9AE}" pid="3" name="bibliography">
    <vt:lpwstr>references.bib</vt:lpwstr>
  </property>
  <property fmtid="{D5CDD505-2E9C-101B-9397-08002B2CF9AE}" pid="4" name="date">
    <vt:lpwstr>2026-06-27</vt:lpwstr>
  </property>
</Properties>
</file>