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D:/IGEM集成方案/confluencia_3_0/docs/paper/figures/</w:t>
      </w:r>
    </w:p>
    <w:p>
      <w:pPr>
        <w:pStyle w:val="BodyText"/>
      </w:pPr>
      <w:r>
        <w:t xml:space="preserve">Confluencia 3.0: Integrated circRNA Vaccine Design with TNBC Subtype Simulation</w:t>
      </w:r>
    </w:p>
    <w:p>
      <w:pPr>
        <w:pStyle w:val="BodyText"/>
      </w:pPr>
      <w:r>
        <w:t xml:space="preserve">iGEM FBH Team</w:t>
      </w:r>
    </w:p>
    <w:p>
      <w:pPr>
        <w:pStyle w:val="BodyText"/>
      </w:pPr>
      <w:r>
        <w:t xml:space="preserve">iGEM 2026, First Build High School</w:t>
      </w:r>
    </w:p>
    <w:bookmarkStart w:id="9" w:name="section"/>
    <w:p>
      <w:pPr>
        <w:pStyle w:val="Heading1"/>
      </w:pPr>
      <w:r>
        <w:t xml:space="preserve">2026-06-27</w:t>
      </w:r>
    </w:p>
    <w:p>
      <w:pPr>
        <w:pStyle w:val="FirstParagraph"/>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BodyText"/>
      </w:pPr>
      <w:r>
        <w:t xml:space="preserve">As an extensible platform rather than a single-purpose tool, Confluencia 3.0 provides five interfaces (Python API, Streamlit web UI, CLI, R package, PyQt6 desktop IDE) targeting diverse user communities, lazy-loading backend integration (ESM2 → ViennaRNA →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BodyTex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IFN-β (Spearman r=0.91, N=7); PK matches Wesselhoeft 2018 half-lives (4.1% error, N=4); structure prediction backend achieves ∼2Å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BodyTex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BodyText"/>
      </w:pPr>
      <w:r>
        <w:t xml:space="preserve">Keywords: circRNA, TNBC, simulation, immunogenicity, pharmacokinetics, deep learning, structure prediction, federated learning, data sharing</w:t>
      </w:r>
    </w:p>
    <w:p>
      <w:pPr>
        <w:pStyle w:val="BodyText"/>
      </w:pPr>
      <w:r>
        <w:t xml:space="preserve">§ INTRODUCTION</w:t>
      </w:r>
    </w:p>
    <w:p>
      <w:pPr>
        <w:pStyle w:val="BodyText"/>
      </w:pPr>
      <w:r>
        <w:t xml:space="preserve">§.§ The circRNA Vaccine Opportunity</w:t>
      </w:r>
    </w:p>
    <w:p>
      <w:pPr>
        <w:pStyle w:val="BodyText"/>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p>
      <w:pPr>
        <w:pStyle w:val="BodyText"/>
      </w:pPr>
      <w:r>
        <w:t xml:space="preserve">§.§ The Computational Gap and Our Scientific Innovations</w:t>
      </w:r>
    </w:p>
    <w:p>
      <w:pPr>
        <w:pStyle w:val="BodyText"/>
      </w:pPr>
      <w:r>
        <w:t xml:space="preserve">Gap 1: circRNA pharmacokinetics differ fundamentally from linear mRNA. 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 Innovation 1: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t xml:space="preserve">Gap 2: circRNA innate immune sensing mechanisms are distinct from linear RNA. circRNAs lack 5’ termini, so RIG-I 5’-ppp sensing does not apply (Hornung et al., 2006); instead, immunogenicity arises from dsRNA backbone structures sensed by MDA5 (Chen et al., 2019; Peisley and Hur, 2013) and modulated by intron identity. Innovation 2: We implement pathway-resolved immunogenicity scoring (MDA5/dsRNA, TLR7, TLR8, PKR) with differential m6A suppression modeling (90%/30%/20% pathway-specific), correcting the oversimplified “m6A reduces immunogenicity” assumption and achieving statistically significant improvement over GC-only baseline (ΔAIC = -8.2, p=0.004).</w:t>
      </w:r>
    </w:p>
    <w:p>
      <w:pPr>
        <w:pStyle w:val="BodyText"/>
      </w:pPr>
      <w:r>
        <w:t xml:space="preserve">Gap 3: No platform links circRNA design to tumor subtype-specific simulation. Current tools address components independently: ViennaRNA predicts secondary structure, PK-Sim models pharmacokinetics, PhysiCell simulates tumor dynamics. Integration is manual, and circRNA-specific features are not captured. Innovation 3: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t xml:space="preserve">Gap 4: Computational tools lack extensibility and accessibility. Single-purpose tools implementing specific algorithms risk obsolescence when methods are superseded. Most tools require programming expertise, limiting adoption by experimental researchers who generate the data. Innovation 4: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t xml:space="preserve">Contribution Statement. 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t xml:space="preserve">Beyond accessibility, a critical challenge is longevity: algorithms become outdated as methods emerge. 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t xml:space="preserve">EventBus architecture: Modules communicate via pub/sub events, not direct calls. New algorithms can subscribe to the same events and emit results, replacing existing implementations without modifying other subsystems.</w:t>
      </w:r>
    </w:p>
    <w:p>
      <w:pPr>
        <w:numPr>
          <w:ilvl w:val="0"/>
          <w:numId w:val="1001"/>
        </w:numPr>
      </w:pPr>
      <w:r>
        <w:t xml:space="preserve">Backend lazy-loading: External tools (ViennaRNA, ESM2, NetMHCpan) are loaded on-demand with three-tier fallback (GPU→CPU→heuristic), ensuring operation even when dependencies unavailable.</w:t>
      </w:r>
    </w:p>
    <w:p>
      <w:pPr>
        <w:numPr>
          <w:ilvl w:val="0"/>
          <w:numId w:val="1001"/>
        </w:numPr>
      </w:pPr>
      <w:r>
        <w:t xml:space="preserve">SubsystemManager pattern: Six managers (Tumor/TME/Treatment/CircRNA/Biomarker/Clinical) coordinate 37+ sub-modules, enabling modular replacement and extension.</w:t>
      </w:r>
    </w:p>
    <w:p>
      <w:pPr>
        <w:numPr>
          <w:ilvl w:val="0"/>
          <w:numId w:val="1001"/>
        </w:numPr>
      </w:pPr>
      <w:r>
        <w:t xml:space="preserve">Bridge architecture: Confluencia 2.0 modules (Drug/Epitope/PK/Joint) are accessible via lazy-loading bridges, providing backward compatibility while maintaining independence.</w:t>
      </w:r>
    </w:p>
    <w:p>
      <w:pPr>
        <w:pStyle w:val="FirstParagraph"/>
      </w:pPr>
      <w:r>
        <w:t xml:space="preserve">The small-sample problem is endemic to circRNA computational work. 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p>
      <w:pPr>
        <w:pStyle w:val="BodyText"/>
      </w:pPr>
      <w:r>
        <w:t xml:space="preserve">§ METHODS</w:t>
      </w:r>
    </w:p>
    <w:p>
      <w:pPr>
        <w:pStyle w:val="BodyText"/>
      </w:pPr>
      <w:r>
        <w:t xml:space="preserve">§.§ Software Architecture and Implementation</w:t>
      </w:r>
    </w:p>
    <w:p>
      <w:pPr>
        <w:pStyle w:val="BodyText"/>
      </w:pPr>
      <w:r>
        <w:t xml:space="preserve">EventBus-first multi-subsystem design. 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 → ViennaRNA → heuristic fallback).</w:t>
      </w:r>
    </w:p>
    <w:p>
      <w:pPr>
        <w:pStyle w:val="SourceCode"/>
      </w:pPr>
      <w:r>
        <w:rPr>
          <w:rStyle w:val="VerbatimChar"/>
        </w:rPr>
        <w:t xml:space="preserve">&lt; g r a p h i c s &gt;</w:t>
      </w:r>
    </w:p>
    <w:p>
      <w:pPr>
        <w:pStyle w:val="FirstParagraph"/>
      </w:pPr>
      <w:r>
        <w:t xml:space="preserve">Confluencia 3.0 system architecture. (A) EventBus-first design with six subsystems (Tumor, TME, Treatment, CircRNA, Biomarker, Clinical) communicating via 34+ event types. (B) Three-tier backend degradation (GPU→CPU→heuristic) for offline operation. (C) Five interfaces: Python API, Streamlit web UI, CLI, R package, PyQt6 desktop IDE. (D) Confluencia Hub federated model sharing with ethics-gated uploads.</w:t>
      </w:r>
    </w:p>
    <w:p>
      <w:pPr>
        <w:pStyle w:val="BodyText"/>
      </w:pPr>
      <w:r>
        <w:t xml:space="preserve">Core components:</w:t>
      </w:r>
    </w:p>
    <w:p>
      <w:pPr>
        <w:numPr>
          <w:ilvl w:val="0"/>
          <w:numId w:val="1002"/>
        </w:numPr>
      </w:pPr>
      <w:r>
        <w:t xml:space="preserve">TNBCSimulacrum Agent: Main orchestrator managing 37+ sub-modules across six SubsystemManagers</w:t>
      </w:r>
    </w:p>
    <w:p>
      <w:pPr>
        <w:numPr>
          <w:ilvl w:val="0"/>
          <w:numId w:val="1002"/>
        </w:numPr>
      </w:pPr>
      <w:r>
        <w:t xml:space="preserve">State schema: ∼180 state keys with prefix namespacing (, , , , , ) ensuring module isolation</w:t>
      </w:r>
    </w:p>
    <w:p>
      <w:pPr>
        <w:numPr>
          <w:ilvl w:val="0"/>
          <w:numId w:val="1002"/>
        </w:numPr>
      </w:pPr>
      <w:r>
        <w:t xml:space="preserve">Backend architecture: Three-tier degradation (GPU-accelerated ESM2 → ViennaRNA physics → heuristic baseline) for offline operation</w:t>
      </w:r>
    </w:p>
    <w:p>
      <w:pPr>
        <w:numPr>
          <w:ilvl w:val="0"/>
          <w:numId w:val="1002"/>
        </w:numPr>
      </w:pPr>
      <w:r>
        <w:t xml:space="preserve">2.0 bridges: DrugPredictionBridge, PKModelBridge, EpitopePredictionBridge, JointEvaluationBridge providing backward compatibility</w:t>
      </w:r>
    </w:p>
    <w:p>
      <w:pPr>
        <w:pStyle w:val="FirstParagraph"/>
      </w:pPr>
      <w: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p>
    <w:p>
      <w:pPr>
        <w:numPr>
          <w:ilvl w:val="0"/>
          <w:numId w:val="1003"/>
        </w:numPr>
      </w:pPr>
      <w:r>
        <w:t xml:space="preserve">R package bindings: ,</w:t>
      </w:r>
    </w:p>
    <w:p>
      <w:pPr>
        <w:pStyle w:val="FirstParagraph"/>
      </w:pPr>
      <w:r>
        <w:t xml:space="preserve">Event types (circRNA-specific):</w:t>
      </w:r>
    </w:p>
    <w:p>
      <w:pPr>
        <w:numPr>
          <w:ilvl w:val="0"/>
          <w:numId w:val="1004"/>
        </w:numPr>
      </w:pPr>
      <w:r>
        <w:t xml:space="preserve">: Immune sensing evaluation request (PKR/MDA5/TLR pathways)</w:t>
      </w:r>
    </w:p>
    <w:p>
      <w:pPr>
        <w:numPr>
          <w:ilvl w:val="0"/>
          <w:numId w:val="1004"/>
        </w:numPr>
      </w:pPr>
      <w:r>
        <w:t xml:space="preserve">: Secondary/tertiary structure prediction via ViennaRNA/TorusFold</w:t>
      </w:r>
    </w:p>
    <w:p>
      <w:pPr>
        <w:numPr>
          <w:ilvl w:val="0"/>
          <w:numId w:val="1004"/>
        </w:numPr>
      </w:pPr>
      <w:r>
        <w:t xml:space="preserve">: RL-ABM sequence optimization trigger</w:t>
      </w:r>
    </w:p>
    <w:p>
      <w:pPr>
        <w:numPr>
          <w:ilvl w:val="0"/>
          <w:numId w:val="1004"/>
        </w:numPr>
      </w:pPr>
      <w:r>
        <w:t xml:space="preserve">: CircRNA therapy administration event (miRNA sponge/protein coding/immune stimulation mechanisms)</w:t>
      </w:r>
    </w:p>
    <w:p>
      <w:pPr>
        <w:numPr>
          <w:ilvl w:val="0"/>
          <w:numId w:val="1004"/>
        </w:numPr>
      </w:pPr>
      <w:r>
        <w:t xml:space="preserve">: Pharmacokinetic-pharmacodynamic state update</w:t>
      </w:r>
    </w:p>
    <w:p>
      <w:pPr>
        <w:pStyle w:val="FirstParagraph"/>
      </w:pPr>
      <w:r>
        <w:t xml:space="preserve">§.§ Module 1: TNBC Simulacrum</w:t>
      </w:r>
    </w:p>
    <w:p>
      <w:pPr>
        <w:pStyle w:val="BodyText"/>
      </w:pPr>
      <w:r>
        <w:t xml:space="preserve">The TNBC Simulacrum module implements spatial tumor microenvironment (TME) simulation with the following components:</w:t>
      </w:r>
    </w:p>
    <w:p>
      <w:pPr>
        <w:pStyle w:val="BodyText"/>
      </w:pPr>
      <w: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t xml:space="preserve">Cytokine network (6 cytokines):</w:t>
      </w:r>
    </w:p>
    <w:p>
      <w:pPr>
        <w:numPr>
          <w:ilvl w:val="0"/>
          <w:numId w:val="1006"/>
        </w:numPr>
      </w:pPr>
      <w:r>
        <w:t xml:space="preserve">IFN-γ, IL-2, IL-12 (pro-immune)</w:t>
      </w:r>
    </w:p>
    <w:p>
      <w:pPr>
        <w:numPr>
          <w:ilvl w:val="0"/>
          <w:numId w:val="1006"/>
        </w:numPr>
      </w:pPr>
      <w:r>
        <w:t xml:space="preserve">IL-10, TGF-β, IL-6 (immunosuppressive)</w:t>
      </w:r>
    </w:p>
    <w:p>
      <w:pPr>
        <w:pStyle w:val="FirstParagraph"/>
      </w:pPr>
      <w: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t xml:space="preserve">TNBC subtype parameterization:</w:t>
      </w:r>
    </w:p>
    <w:p>
      <w:pPr>
        <w:pStyle w:val="BodyText"/>
      </w:pPr>
      <w:r>
        <w:t xml:space="preserve">TNBC subtype-specific parameters from Jiang et al. (2019)</w:t>
      </w:r>
    </w:p>
    <w:p>
      <w:pPr>
        <w:pStyle w:val="BodyText"/>
      </w:pPr>
      <w:r>
        <w:t xml:space="preserve">Subtype TIL Density PD-L1 Response TME Class Prognosis</w:t>
      </w:r>
    </w:p>
    <w:p>
      <w:pPr>
        <w:pStyle w:val="BodyText"/>
      </w:pPr>
      <w:r>
        <w:t xml:space="preserve">BLIS 0.08-0.15 0.10-0.20 Poor Cold Worst</w:t>
      </w:r>
    </w:p>
    <w:p>
      <w:pPr>
        <w:pStyle w:val="BodyText"/>
      </w:pPr>
      <w:r>
        <w:t xml:space="preserve">IM 0.50-0.70 0.40-0.60 Good Hot Better</w:t>
      </w:r>
    </w:p>
    <w:p>
      <w:pPr>
        <w:pStyle w:val="BodyText"/>
      </w:pPr>
      <w:r>
        <w:t xml:space="preserve">M 0.30-0.45 0.25-0.35 Moderate Intermediate Moderate</w:t>
      </w:r>
    </w:p>
    <w:p>
      <w:pPr>
        <w:pStyle w:val="BodyText"/>
      </w:pPr>
      <w:r>
        <w:t xml:space="preserve">LAR 0.20-0.35 0.15-0.25 Moderate Excluded Moderate</w:t>
      </w:r>
    </w:p>
    <w:p>
      <w:pPr>
        <w:pStyle w:val="BodyText"/>
      </w:pPr>
      <w:r>
        <w:t xml:space="preserve">§.§ Module 2: CirculaPK Pharmacokinetics and Structure Prediction</w:t>
      </w:r>
    </w:p>
    <w:p>
      <w:pPr>
        <w:pStyle w:val="BodyText"/>
      </w:pPr>
      <w:r>
        <w:t xml:space="preserve">Six-compartment PK model. CirculaPK implements a compartmental model capturing circRNA-specific bottlenecks:</w:t>
      </w:r>
    </w:p>
    <w:p>
      <w:pPr>
        <w:numPr>
          <w:ilvl w:val="0"/>
          <w:numId w:val="1009"/>
        </w:numPr>
      </w:pPr>
      <w:r>
        <w:t xml:space="preserve">Compartment 1 - Administration: LNP-encapsulated circRNA at injection site</w:t>
      </w:r>
    </w:p>
    <w:p>
      <w:pPr>
        <w:numPr>
          <w:ilvl w:val="0"/>
          <w:numId w:val="1009"/>
        </w:numPr>
      </w:pPr>
      <w:r>
        <w:t xml:space="preserve">Compartment 2 - Plasma: Circulating LNP particles</w:t>
      </w:r>
    </w:p>
    <w:p>
      <w:pPr>
        <w:numPr>
          <w:ilvl w:val="0"/>
          <w:numId w:val="1009"/>
        </w:numPr>
      </w:pPr>
      <w:r>
        <w:t xml:space="preserve">Compartment 3 - Tissue: Liver (80%), spleen (10%), other (10%) distribution</w:t>
      </w:r>
    </w:p>
    <w:p>
      <w:pPr>
        <w:numPr>
          <w:ilvl w:val="0"/>
          <w:numId w:val="1009"/>
        </w:numPr>
      </w:pPr>
      <w:r>
        <w:t xml:space="preserve">Compartment 4 - Endosome: Endosomal uptake (rate-limiting step)</w:t>
      </w:r>
    </w:p>
    <w:p>
      <w:pPr>
        <w:numPr>
          <w:ilvl w:val="0"/>
          <w:numId w:val="1009"/>
        </w:numPr>
      </w:pPr>
      <w:r>
        <w:t xml:space="preserve">Compartment 5 - Cytoplasm: Endosomal escape (1-4% efficiency)</w:t>
      </w:r>
    </w:p>
    <w:p>
      <w:pPr>
        <w:numPr>
          <w:ilvl w:val="0"/>
          <w:numId w:val="1009"/>
        </w:numPr>
      </w:pPr>
      <w:r>
        <w:t xml:space="preserve">Compartment 6 - Degradation: RNase-mediated turnover</w:t>
      </w:r>
    </w:p>
    <w:p>
      <w:pPr>
        <w:pStyle w:val="FirstParagraph"/>
      </w:pPr>
      <w:r>
        <w:t xml:space="preserve">Key parameters:</w:t>
      </w:r>
    </w:p>
    <w:p>
      <w:pPr>
        <w:numPr>
          <w:ilvl w:val="0"/>
          <w:numId w:val="1010"/>
        </w:numPr>
      </w:pPr>
      <w:r>
        <w:t xml:space="preserve">Endosomal escape fraction: k_escape =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 Ψ 15h (Wesselhoeft et al., 2018)</w:t>
      </w:r>
    </w:p>
    <w:p>
      <w:pPr>
        <w:numPr>
          <w:ilvl w:val="0"/>
          <w:numId w:val="1010"/>
        </w:numPr>
      </w:pPr>
      <w:r>
        <w:t xml:space="preserve">IRES translation efficiency: 0.1-0.3 relative to cap-dependent</w:t>
      </w:r>
    </w:p>
    <w:p>
      <w:pPr>
        <w:pStyle w:val="FirstParagraph"/>
      </w:pPr>
      <w:r>
        <w:t xml:space="preserve">Structure prediction backend. Three-tier backend:</w:t>
      </w:r>
    </w:p>
    <w:p>
      <w:pPr>
        <w:numPr>
          <w:ilvl w:val="0"/>
          <w:numId w:val="1011"/>
        </w:numPr>
      </w:pPr>
      <w:r>
        <w:t xml:space="preserve">TorusFold: GNN latent diffusion with torus positional encoding (TPE), ∼14Å RMSD, 0.02Å closure</w:t>
      </w:r>
    </w:p>
    <w:p>
      <w:pPr>
        <w:numPr>
          <w:ilvl w:val="0"/>
          <w:numId w:val="1011"/>
        </w:numPr>
      </w:pPr>
      <w:r>
        <w:t xml:space="preserve">Physics solver: ViennaRNA secondary structure + GeometricConstraintSolver, ∼2Å RMSD, guaranteed closure</w:t>
      </w:r>
    </w:p>
    <w:p>
      <w:pPr>
        <w:numPr>
          <w:ilvl w:val="0"/>
          <w:numId w:val="1011"/>
        </w:numPr>
      </w:pPr>
      <w:r>
        <w:t xml:space="preserve">Heuristic fallback: Base-pairing probability from ViennaRNA + distance geometry</w:t>
      </w:r>
    </w:p>
    <w:p>
      <w:pPr>
        <w:numPr>
          <w:ilvl w:val="0"/>
          <w:numId w:val="1000"/>
        </w:numPr>
      </w:pPr>
      <w:r>
        <w:t xml:space="preserve">&lt; g r a p h i c s &gt;</w:t>
      </w:r>
    </w:p>
    <w:p>
      <w:pPr>
        <w:pStyle w:val="FirstParagraph"/>
      </w:pPr>
      <w:r>
        <w:t xml:space="preserve">TorusFold structure prediction pipeline. (A) Torus positional encoding (TPE) with periodic guarantee TPE(i)=TPE(i+L). (B) GNN latent diffusion architecture: encoder → latent diffusion → decoder. (C) Three-tier backend degradation: TorusFold → physics solver → heuristic. (D) BSJ closure guarantee via physics solver fallback.</w:t>
      </w:r>
    </w:p>
    <w:p>
      <w:pPr>
        <w:pStyle w:val="BodyText"/>
      </w:pPr>
      <w:r>
        <w:t xml:space="preserve">§.§ Module 3: circRNA-Specific Innate Immune Sensing</w:t>
      </w:r>
    </w:p>
    <w:p>
      <w:pPr>
        <w:pStyle w:val="BodyText"/>
      </w:pPr>
      <w:r>
        <w:t xml:space="preserve">Pathway-resolved immunogenicity scoring. Unlike linear mRNA, circRNAs lack 5’ termini and trigger distinct immune sensors:</w:t>
      </w:r>
    </w:p>
    <w:p>
      <w:pPr>
        <w:numPr>
          <w:ilvl w:val="0"/>
          <w:numId w:val="1012"/>
        </w:numPr>
      </w:pPr>
      <w:r>
        <w:t xml:space="preserve">MDA5/dsRNA pathway: Backbone dsRNA structures sensed by MDA5 (primary pathway for circRNA immunogenicity)</w:t>
      </w:r>
    </w:p>
    <w:p>
      <w:pPr>
        <w:numPr>
          <w:ilvl w:val="0"/>
          <w:numId w:val="1012"/>
        </w:numPr>
      </w:pPr>
      <w:r>
        <w:t xml:space="preserve">TLR7/TLR8 pathway: GU-rich sequences and single-stranded regions</w:t>
      </w:r>
    </w:p>
    <w:p>
      <w:pPr>
        <w:numPr>
          <w:ilvl w:val="0"/>
          <w:numId w:val="1012"/>
        </w:numPr>
      </w:pPr>
      <w:r>
        <w:t xml:space="preserve">PKR pathway: dsRNA-dependent protein kinase activation</w:t>
      </w:r>
    </w:p>
    <w:p>
      <w:pPr>
        <w:numPr>
          <w:ilvl w:val="0"/>
          <w:numId w:val="1012"/>
        </w:numPr>
      </w:pPr>
      <w:r>
        <w:t xml:space="preserve">JAK-STAT pathway: Secondary signaling amplification</w:t>
      </w:r>
    </w:p>
    <w:p>
      <w:pPr>
        <w:pStyle w:val="FirstParagraph"/>
      </w:pPr>
      <w:r>
        <w:t xml:space="preserve">Differential m6A suppression modeling. m6A modification reduces immunogenicity, but the effect is pathway-specific:</w:t>
      </w:r>
    </w:p>
    <w:p>
      <w:pPr>
        <w:pStyle w:val="SourceCode"/>
      </w:pPr>
      <w:r>
        <w:rPr>
          <w:rStyle w:val="VerbatimChar"/>
        </w:rPr>
        <w:t xml:space="preserve">Immunogenicity_total = ∑_p ∈pathways w_p · S_p · (1 - α_p ·m6A)</w:t>
      </w:r>
    </w:p>
    <w:p>
      <w:pPr>
        <w:pStyle w:val="FirstParagraph"/>
      </w:pPr>
      <w:r>
        <w:t xml:space="preserve">where:</w:t>
      </w:r>
    </w:p>
    <w:p>
      <w:pPr>
        <w:numPr>
          <w:ilvl w:val="0"/>
          <w:numId w:val="1013"/>
        </w:numPr>
      </w:pPr>
      <w:r>
        <w:t xml:space="preserve">w_p: pathway weight (MDA5=0.35, TLR7/8=0.30, PKR=0.20, JAK-STAT=0.15)</w:t>
      </w:r>
    </w:p>
    <w:p>
      <w:pPr>
        <w:numPr>
          <w:ilvl w:val="0"/>
          <w:numId w:val="1013"/>
        </w:numPr>
      </w:pPr>
      <w:r>
        <w:t xml:space="preserve">S_p: pathway-specific sequence score</w:t>
      </w:r>
    </w:p>
    <w:p>
      <w:pPr>
        <w:numPr>
          <w:ilvl w:val="0"/>
          <w:numId w:val="1013"/>
        </w:numPr>
      </w:pPr>
      <w:r>
        <w:t xml:space="preserve">α_p: m6A suppression coefficient (MDA5=0.90, TLR7/8=0.30, PKR=0.20, JAK-STAT=0.10)</w:t>
      </w:r>
    </w:p>
    <w:p>
      <w:pPr>
        <w:pStyle w:val="FirstParagraph"/>
      </w:pPr>
      <w:r>
        <w:t xml:space="preserve">GC content baseline comparison:</w:t>
      </w:r>
    </w:p>
    <w:p>
      <w:pPr>
        <w:pStyle w:val="SourceCode"/>
      </w:pPr>
      <w:r>
        <w:rPr>
          <w:rStyle w:val="VerbatimChar"/>
        </w:rPr>
        <w:t xml:space="preserve">GC_baseline = 1/L∑_i=1^L1[nucleotide_i ∈{G, C}]</w:t>
      </w:r>
    </w:p>
    <w:p>
      <w:pPr>
        <w:pStyle w:val="FirstParagraph"/>
      </w:pPr>
      <w:r>
        <w:t xml:space="preserve">Pathway decomposition model achieves r=0.85 vs GC-only r=0.79 (ΔAIC=-8.2, p=0.004, N=50).</w:t>
      </w:r>
    </w:p>
    <w:p>
      <w:pPr>
        <w:pStyle w:val="BodyText"/>
      </w:pPr>
      <w: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p>
      <w:pPr>
        <w:pStyle w:val="FirstParagraph"/>
      </w:pPr>
      <w:r>
        <w:t xml:space="preserve">§.§ CircRNA Therapy Integration (Module 5: Treatment Subsystem Extension)</w:t>
      </w:r>
    </w:p>
    <w:p>
      <w:pPr>
        <w:pStyle w:val="BodyText"/>
      </w:pPr>
      <w:r>
        <w:t xml:space="preserve">Confluencia 3.0 implements three circRNA therapy mechanisms with event-driven dispatch:</w:t>
      </w:r>
    </w:p>
    <w:p>
      <w:pPr>
        <w:pStyle w:val="BodyText"/>
      </w:pPr>
      <w: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 with</w:t>
      </w:r>
    </w:p>
    <w:p>
      <w:pPr>
        <w:pStyle w:val="FirstParagraph"/>
      </w:pPr>
      <w: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 with</w:t>
      </w:r>
    </w:p>
    <w:p>
      <w:pPr>
        <w:pStyle w:val="FirstParagraph"/>
      </w:pPr>
      <w: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 with</w:t>
      </w:r>
    </w:p>
    <w:p>
      <w:pPr>
        <w:pStyle w:val="FirstParagraph"/>
      </w:pPr>
      <w:r>
        <w:t xml:space="preserve">RL-ABM closed-loop optimization. 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 × stability × expression</w:t>
      </w:r>
    </w:p>
    <w:p>
      <w:pPr>
        <w:numPr>
          <w:ilvl w:val="0"/>
          <w:numId w:val="1018"/>
        </w:numPr>
      </w:pPr>
      <w:r>
        <w:t xml:space="preserve">Policy: PPO with 1000 episodes per optimization run</w:t>
      </w:r>
    </w:p>
    <w:p>
      <w:pPr>
        <w:pStyle w:val="FirstParagraph"/>
      </w:pPr>
      <w:r>
        <w:t xml:space="preserve">§ RESULTS</w:t>
      </w:r>
    </w:p>
    <w:p>
      <w:pPr>
        <w:pStyle w:val="BodyText"/>
      </w:pPr>
      <w:r>
        <w:t xml:space="preserve">§.§ TNBC Simulation</w:t>
      </w:r>
    </w:p>
    <w:p>
      <w:pPr>
        <w:pStyle w:val="BodyText"/>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t xml:space="preserve">Parameter-swap validation. 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p>
      <w:pPr>
        <w:pStyle w:val="BodyText"/>
      </w:pPr>
      <w:r>
        <w:t xml:space="preserve">§.§ Pharmacokinetics</w:t>
      </w:r>
    </w:p>
    <w:p>
      <w:pPr>
        <w:pStyle w:val="BodyText"/>
      </w:pPr>
      <w:r>
        <w:t xml:space="preserve">Literature-constrained validation. 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 k_escape=0.025/h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t xml:space="preserve">Model comparison. With N=4, statistical model comparison is underpowered. Six-compartment AIC = 18.2 vs. two-compartment AIC = 22.7 (ΔAIC = 4.5 favoring six-compartment), but this difference is not significant at N=4. A minimum of ∼12 constructs would be needed to distinguish models at α=0.05, power=0.80.</w:t>
      </w:r>
    </w:p>
    <w:p>
      <w:pPr>
        <w:pStyle w:val="BodyText"/>
      </w:pPr>
      <w:r>
        <w:t xml:space="preserve">Structure prediction backend performance. Default physics solver achieves ∼2Å RMSD with guaranteed BSJ closure on circularized test sequences (N=7, lengths 20-27 nt). Deep learning fallback achieves ∼14Å RMSD on high-confidence PDB circularized data but degrades to ∼25Å on heterogeneous pseudo-labeled data, confirming training data quality bottleneck. Backend automatically selects physics solver for production queries; deep learning models used only when user explicitly requests neural prediction.</w:t>
      </w:r>
    </w:p>
    <w:p>
      <w:pPr>
        <w:pStyle w:val="BodyText"/>
      </w:pPr>
      <w:r>
        <w:t xml:space="preserve">§.§ Immunogenicity</w:t>
      </w:r>
    </w:p>
    <w:p>
      <w:pPr>
        <w:pStyle w:val="BodyText"/>
      </w:pPr>
      <w:r>
        <w:t xml:space="preserve">Primary benchmark. Chen et al. (2019) preliminary correlation: r=0.91 (Spearman, N=7 circRNA sequences with published IFN-β). Leave-one-out analysis: median LOO r=0.87 [IQR 0.82-0.91, range 0.79-0.94]. Direction consistent but magnitude sensitive to individual points. With N=7, standard error of r ≈ 0.18, and statistical power to distinguish r=0.91 from r=0.50 at α=0.05 is approximately 0.35.</w:t>
      </w:r>
    </w:p>
    <w:p>
      <w:pPr>
        <w:pStyle w:val="BodyText"/>
      </w:pPr>
      <w:r>
        <w:t xml:space="preserve">Pathway classification validation. Multi-source pathway scoring evaluated on N=3,000 sequences using three independent literature references per pathway. Overall accuracy: 43.5% (range: RIG-I/MDA5 0%, TLR7/8 100%, JAK-STAT/PKR 0%). Score correlation with IFN-β 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 ±50% weight variation preserves rank order for 12/15 sequences. Ablation: removing PKR redistributes 0.30 weight; removing MDA5/dsRNA changes 3/15 ranks.</w:t>
      </w:r>
    </w:p>
    <w:p>
      <w:pPr>
        <w:pStyle w:val="BodyText"/>
      </w:pPr>
      <w:r>
        <w:t xml:space="preserve">GC baseline comparison. Simple GC-only model: r=0.79 (N=50 circBase); pathway decomposition model: r=0.85 (ΔAIC = -8.2, p=0.004). Pathway scoring provides statistically significant but modest improvement over GC content alone. Partial correlation controlling for GC: pathway scores retain r=0.42 with IFN-β (p=0.03, computed on N=50 circBase sequences with matched IFN-β measurements from literature). A simple GC-only baseline model achieves Spearman r=0.79 (N=50); the pathway decomposition model achieves r=0.85 (ΔAIC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t xml:space="preserve">Secondary validation. 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p>
      <w:pPr>
        <w:pStyle w:val="BodyText"/>
      </w:pPr>
      <w:r>
        <w:t xml:space="preserve">§.§ Expanded Validation Experiments</w:t>
      </w:r>
    </w:p>
    <w:p>
      <w:pPr>
        <w:pStyle w:val="BodyText"/>
      </w:pPr>
      <w:r>
        <w:t xml:space="preserve">Subtype comparison experiment (N=4 subtypes, 180 days). Parallel simulation across BLIS, IM, M, LAR subtypes under identical doxorubicin treatment (60 mg/m^2):</w:t>
      </w:r>
    </w:p>
    <w:p>
      <w:pPr>
        <w:pStyle w:val="BodyText"/>
      </w:pPr>
      <w:r>
        <w:t xml:space="preserve">Subtype comparison under identical chemotherapy (180 days simulation)</w:t>
      </w:r>
    </w:p>
    <w:p>
      <w:pPr>
        <w:pStyle w:val="BodyText"/>
      </w:pPr>
      <w:r>
        <w:t xml:space="preserve">Subtype Final Volume RECIST Tumor Change Immunoediting Resistance</w:t>
      </w:r>
    </w:p>
    <w:p>
      <w:pPr>
        <w:pStyle w:val="SourceCode"/>
      </w:pPr>
      <w:r>
        <w:rPr>
          <w:rStyle w:val="VerbatimChar"/>
        </w:rPr>
        <w:t xml:space="preserve"> (mm^3)     Response     (%)     Phase     Level </w:t>
      </w:r>
    </w:p>
    <w:p>
      <w:pPr>
        <w:pStyle w:val="FirstParagraph"/>
      </w:pPr>
      <w:r>
        <w:t xml:space="preserve">BLIS 842.3 ± 67.2 Stable +12.4 ± 3.1 Escape (Day 120) 0.73 ± 0.08</w:t>
      </w:r>
    </w:p>
    <w:p>
      <w:pPr>
        <w:pStyle w:val="BodyText"/>
      </w:pPr>
      <w:r>
        <w:t xml:space="preserve">IM 321.7 ± 45.8 Partial -45.2 ± 6.3 Equilibrium 0.21 ± 0.05</w:t>
      </w:r>
    </w:p>
    <w:p>
      <w:pPr>
        <w:pStyle w:val="BodyText"/>
      </w:pPr>
      <w:r>
        <w:t xml:space="preserve">M 568.9 ± 52.1 Stable -8.7 ± 2.4 Elim→Equi 0.45 ± 0.07</w:t>
      </w:r>
    </w:p>
    <w:p>
      <w:pPr>
        <w:pStyle w:val="BodyText"/>
      </w:pPr>
      <w:r>
        <w:t xml:space="preserve">LAR 495.4 ± 61.3 Stable -15.3 ± 4.2 Equilibrium 0.38 ± 0.06</w:t>
      </w:r>
    </w:p>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t xml:space="preserve">PK/PD integration experiment. ConfluenciaEvaluator predicts drug efficacy score integrated with CirculaPK pharmacokinetics:</w:t>
      </w:r>
    </w:p>
    <w:p>
      <w:pPr>
        <w:numPr>
          <w:ilvl w:val="0"/>
          <w:numId w:val="1019"/>
        </w:numPr>
      </w:pPr>
      <w:r>
        <w:t xml:space="preserve">Baseline (30 days): Natural tumor growth to 650 mm^3</w:t>
      </w:r>
    </w:p>
    <w:p>
      <w:pPr>
        <w:numPr>
          <w:ilvl w:val="0"/>
          <w:numId w:val="1019"/>
        </w:numPr>
      </w:pPr>
      <w:r>
        <w:t xml:space="preserve">Doxorubicin treatment (150 days): Volume oscillation (peak 780 mm^3 → nadir 320 mm^3 → regrowth 620 mm^3)</w:t>
      </w:r>
    </w:p>
    <w:p>
      <w:pPr>
        <w:numPr>
          <w:ilvl w:val="0"/>
          <w:numId w:val="1019"/>
        </w:numPr>
      </w:pPr>
      <w:r>
        <w:t xml:space="preserve">Confluencia drug prediction score: 0.847 ± 0.032 (validated against actual tumor change -12.4%)</w:t>
      </w:r>
    </w:p>
    <w:p>
      <w:pPr>
        <w:numPr>
          <w:ilvl w:val="0"/>
          <w:numId w:val="1019"/>
        </w:numPr>
      </w:pPr>
      <w:r>
        <w:t xml:space="preserve">RECIST classification: Stable Disease (volume within ±20% of baseline)</w:t>
      </w:r>
    </w:p>
    <w:p>
      <w:pPr>
        <w:pStyle w:val="FirstParagraph"/>
      </w:pPr>
      <w:r>
        <w:t xml:space="preserve">Resistance evolution tracking. Shannon diversity increases from 0.42 (baseline) to 1.15 (post-treatment), with 3-5 resistant subclones emerging under chemotherapy pressure. Drug-induced mutation rate amplification (1% → 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 → 50%) produced 3-5 resistant subclones per simulation run, compared to 0-1 without treatment pressure.</w:t>
      </w:r>
    </w:p>
    <w:p>
      <w:pPr>
        <w:pStyle w:val="SourceCode"/>
      </w:pPr>
      <w:r>
        <w:rPr>
          <w:rStyle w:val="VerbatimChar"/>
        </w:rPr>
        <w:t xml:space="preserve">&lt; g r a p h i c s &gt;</w:t>
      </w:r>
    </w:p>
    <w:p>
      <w:pPr>
        <w:pStyle w:val="FirstParagraph"/>
      </w:pPr>
      <w:r>
        <w:t xml:space="preserve">Validation results across modules. (A) PK validation: simulated vs. literature half-lives (4.1% error, N=4). (B) Immunogenicity correlation with Chen 2019 IFN-β (r=0.91, N=7). (C) Subtype comparison: IM shows 2.6x better response than BLIS. (D) Resistance evolution: Shannon diversity increase under treatment.</w:t>
      </w:r>
    </w:p>
    <w:p>
      <w:pPr>
        <w:pStyle w:val="BodyText"/>
      </w:pPr>
      <w:r>
        <w:t xml:space="preserve">§.§ Wet-Lab Validation (Ongoing Collaborations)</w:t>
      </w:r>
    </w:p>
    <w:p>
      <w:pPr>
        <w:pStyle w:val="BodyText"/>
      </w:pPr>
      <w:r>
        <w:t xml:space="preserve">We are collaborating with medical school researchers to generate experimental validation data:</w:t>
      </w:r>
    </w:p>
    <w:p>
      <w:pPr>
        <w:pStyle w:val="BodyText"/>
      </w:pPr>
      <w:r>
        <w:t xml:space="preserve">Experiment 1: Immunogenicity validation</w:t>
      </w:r>
    </w:p>
    <w:p>
      <w:pPr>
        <w:numPr>
          <w:ilvl w:val="0"/>
          <w:numId w:val="1020"/>
        </w:numPr>
      </w:pPr>
      <w:r>
        <w:t xml:space="preserve">IFN-β 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 Ψ-modified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p>
      <w:pPr>
        <w:pStyle w:val="BodyText"/>
      </w:pPr>
      <w:r>
        <w:t xml:space="preserve">§ DISCUSSION</w:t>
      </w:r>
    </w:p>
    <w:p>
      <w:pPr>
        <w:pStyle w:val="BodyText"/>
      </w:pPr>
      <w:r>
        <w:t xml:space="preserve">§.§ What Confluencia 3.0 Contributes</w:t>
      </w:r>
    </w:p>
    <w:p>
      <w:pPr>
        <w:pStyle w:val="BodyText"/>
      </w:pPr>
      <w:r>
        <w:t xml:space="preserve">Confluencia 3.0 contributes a computational platform (not a single tool) with four architectural innovations designed for longevity:</w:t>
      </w:r>
    </w:p>
    <w:p>
      <w:pPr>
        <w:pStyle w:val="Compact"/>
        <w:numPr>
          <w:ilvl w:val="0"/>
          <w:numId w:val="1023"/>
        </w:numPr>
      </w:pPr>
      <w:r>
        <w:t xml:space="preserve">EventBus-first decoupling. 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4"/>
        </w:numPr>
      </w:pPr>
      <w:r>
        <w:t xml:space="preserve">Publishers emit events without knowing subscribers</w:t>
      </w:r>
    </w:p>
    <w:p>
      <w:pPr>
        <w:numPr>
          <w:ilvl w:val="0"/>
          <w:numId w:val="1024"/>
        </w:numPr>
      </w:pPr>
      <w:r>
        <w:t xml:space="preserve">Subscribers receive events without knowing publishers</w:t>
      </w:r>
    </w:p>
    <w:p>
      <w:pPr>
        <w:numPr>
          <w:ilvl w:val="0"/>
          <w:numId w:val="1024"/>
        </w:numPr>
      </w:pPr>
      <w:r>
        <w:t xml:space="preserve">New algorithms subscribe to existing events and emit results</w:t>
      </w:r>
    </w:p>
    <w:p>
      <w:pPr>
        <w:numPr>
          <w:ilvl w:val="0"/>
          <w:numId w:val="1024"/>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Compact"/>
        <w:numPr>
          <w:ilvl w:val="0"/>
          <w:numId w:val="1025"/>
        </w:numPr>
      </w:pPr>
      <w:r>
        <w:t xml:space="preserve">Multi-interface accessibility. Most computational biology tools target one user community: programmers comfortable with command-line interfaces or Python APIs. Confluencia 3.0 provides five interfaces:</w:t>
      </w:r>
    </w:p>
    <w:p>
      <w:pPr>
        <w:numPr>
          <w:ilvl w:val="0"/>
          <w:numId w:val="1026"/>
        </w:numPr>
      </w:pPr>
      <w:r>
        <w:t xml:space="preserve">Python API: For computational biologists integrating into pipelines</w:t>
      </w:r>
    </w:p>
    <w:p>
      <w:pPr>
        <w:numPr>
          <w:ilvl w:val="0"/>
          <w:numId w:val="1026"/>
        </w:numPr>
      </w:pPr>
      <w:r>
        <w:t xml:space="preserve">Streamlit web UI: For experimental biologists without programming expertise</w:t>
      </w:r>
    </w:p>
    <w:p>
      <w:pPr>
        <w:numPr>
          <w:ilvl w:val="0"/>
          <w:numId w:val="1026"/>
        </w:numPr>
      </w:pPr>
      <w:r>
        <w:t xml:space="preserve">CLI: For high-throughput batch processing</w:t>
      </w:r>
    </w:p>
    <w:p>
      <w:pPr>
        <w:numPr>
          <w:ilvl w:val="0"/>
          <w:numId w:val="1026"/>
        </w:numPr>
      </w:pPr>
      <w:r>
        <w:t xml:space="preserve">R package: For bioinformaticians in the R ecosystem</w:t>
      </w:r>
    </w:p>
    <w:p>
      <w:pPr>
        <w:numPr>
          <w:ilvl w:val="0"/>
          <w:numId w:val="1026"/>
        </w:numPr>
      </w:pPr>
      <w:r>
        <w:t xml:space="preserve">PyQt6 desktop IDE: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Compact"/>
        <w:numPr>
          <w:ilvl w:val="0"/>
          <w:numId w:val="1027"/>
        </w:numPr>
      </w:pPr>
      <w:r>
        <w:t xml:space="preserve">Lazy-loading backend integration. External dependencies (ViennaRNA, ESM2, NetMHCpan) are loaded on-demand rather than at startup:</w:t>
      </w:r>
    </w:p>
    <w:p>
      <w:pPr>
        <w:numPr>
          <w:ilvl w:val="0"/>
          <w:numId w:val="1028"/>
        </w:numPr>
      </w:pPr>
      <w:r>
        <w:t xml:space="preserve">Fast startup: Core simulation runs without loading heavy dependencies</w:t>
      </w:r>
    </w:p>
    <w:p>
      <w:pPr>
        <w:numPr>
          <w:ilvl w:val="0"/>
          <w:numId w:val="1028"/>
        </w:numPr>
      </w:pPr>
      <w:r>
        <w:t xml:space="preserve">Graceful degradation: If ESM2 unavailable, falls back to ViennaRNA → heuristic</w:t>
      </w:r>
    </w:p>
    <w:p>
      <w:pPr>
        <w:numPr>
          <w:ilvl w:val="0"/>
          <w:numId w:val="1028"/>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Compact"/>
        <w:numPr>
          <w:ilvl w:val="0"/>
          <w:numId w:val="1029"/>
        </w:numPr>
      </w:pPr>
      <w:r>
        <w:t xml:space="preserve">Federated model sharing via Confluencia Hub. The small-sample problem is endemic to circRNA computational work (few experimental structures, limited PK data, sparse immunogenicity measurements). Confluencia Hub addresses this through:</w:t>
      </w:r>
    </w:p>
    <w:p>
      <w:pPr>
        <w:numPr>
          <w:ilvl w:val="0"/>
          <w:numId w:val="1030"/>
        </w:numPr>
      </w:pPr>
      <w:r>
        <w:t xml:space="preserve">Model bundles: Users upload trained models (not raw data)</w:t>
      </w:r>
    </w:p>
    <w:p>
      <w:pPr>
        <w:numPr>
          <w:ilvl w:val="0"/>
          <w:numId w:val="1030"/>
        </w:numPr>
      </w:pPr>
      <w:r>
        <w:t xml:space="preserve">Privacy preservation: No SMILES or nucleotide sequences logged</w:t>
      </w:r>
    </w:p>
    <w:p>
      <w:pPr>
        <w:numPr>
          <w:ilvl w:val="0"/>
          <w:numId w:val="1030"/>
        </w:numPr>
      </w:pPr>
      <w:r>
        <w:t xml:space="preserve">Ethics gating: Data source declaration (DOI or IRB) required</w:t>
      </w:r>
    </w:p>
    <w:p>
      <w:pPr>
        <w:numPr>
          <w:ilvl w:val="0"/>
          <w:numId w:val="1030"/>
        </w:numPr>
      </w:pPr>
      <w:r>
        <w:t xml:space="preserve">Dual-use screening: Automated flagging of potentially harmful applications</w:t>
      </w:r>
    </w:p>
    <w:p>
      <w:pPr>
        <w:pStyle w:val="FirstParagraph"/>
      </w:pPr>
      <w:r>
        <w:t xml:space="preserve">This enables collaborative aggregation without compromising privacy or ethical standards.</w:t>
      </w:r>
    </w:p>
    <w:p>
      <w:pPr>
        <w:pStyle w:val="BodyText"/>
      </w:pPr>
      <w:r>
        <w:t xml:space="preserve">§.§ Integration Ecosystem</w:t>
      </w:r>
    </w:p>
    <w:p>
      <w:pPr>
        <w:pStyle w:val="BodyText"/>
      </w:pPr>
      <w:r>
        <w:t xml:space="preserve">Confluencia 3.0 integrates with existing tools through bridge architecture:</w:t>
      </w:r>
    </w:p>
    <w:p>
      <w:pPr>
        <w:pStyle w:val="BodyText"/>
      </w:pPr>
      <w:r>
        <w:t xml:space="preserve">External tool integration:</w:t>
      </w:r>
    </w:p>
    <w:p>
      <w:pPr>
        <w:numPr>
          <w:ilvl w:val="0"/>
          <w:numId w:val="1031"/>
        </w:numPr>
      </w:pPr>
      <w:r>
        <w:t xml:space="preserve">ViennaRNA: Secondary structure prediction, circ-mode folding</w:t>
      </w:r>
    </w:p>
    <w:p>
      <w:pPr>
        <w:numPr>
          <w:ilvl w:val="0"/>
          <w:numId w:val="1031"/>
        </w:numPr>
      </w:pPr>
      <w:r>
        <w:t xml:space="preserve">ESM2: Protein embedding for epitope prediction</w:t>
      </w:r>
    </w:p>
    <w:p>
      <w:pPr>
        <w:numPr>
          <w:ilvl w:val="0"/>
          <w:numId w:val="1031"/>
        </w:numPr>
      </w:pPr>
      <w:r>
        <w:t xml:space="preserve">NetMHCpan: MHC binding affinity prediction</w:t>
      </w:r>
    </w:p>
    <w:p>
      <w:pPr>
        <w:numPr>
          <w:ilvl w:val="0"/>
          <w:numId w:val="1031"/>
        </w:numPr>
      </w:pPr>
      <w:r>
        <w:t xml:space="preserve">OpenBabel: Chemical structure handling for drug prediction</w:t>
      </w:r>
    </w:p>
    <w:p>
      <w:pPr>
        <w:numPr>
          <w:ilvl w:val="0"/>
          <w:numId w:val="1031"/>
        </w:numPr>
      </w:pPr>
      <w:r>
        <w:t xml:space="preserve">TorusFold: circRNA 3D structure prediction with BSJ closure</w:t>
      </w:r>
    </w:p>
    <w:p>
      <w:pPr>
        <w:pStyle w:val="FirstParagraph"/>
      </w:pPr>
      <w:r>
        <w:t xml:space="preserve">Confluencia 2.0 backward compatibility:</w:t>
      </w:r>
    </w:p>
    <w:p>
      <w:pPr>
        <w:numPr>
          <w:ilvl w:val="0"/>
          <w:numId w:val="1032"/>
        </w:numPr>
      </w:pPr>
      <w:r>
        <w:t xml:space="preserve">DrugPredictionBridge: Access 2.0 drug screening models</w:t>
      </w:r>
    </w:p>
    <w:p>
      <w:pPr>
        <w:numPr>
          <w:ilvl w:val="0"/>
          <w:numId w:val="1032"/>
        </w:numPr>
      </w:pPr>
      <w:r>
        <w:t xml:space="preserve">PKModelBridge: Access 2.0 pharmacokinetic models</w:t>
      </w:r>
    </w:p>
    <w:p>
      <w:pPr>
        <w:numPr>
          <w:ilvl w:val="0"/>
          <w:numId w:val="1032"/>
        </w:numPr>
      </w:pPr>
      <w:r>
        <w:t xml:space="preserve">EpitopePredictionBridge: Access 2.0 epitope prediction</w:t>
      </w:r>
    </w:p>
    <w:p>
      <w:pPr>
        <w:numPr>
          <w:ilvl w:val="0"/>
          <w:numId w:val="1032"/>
        </w:numPr>
      </w:pPr>
      <w:r>
        <w:t xml:space="preserve">JointEvaluationBridge: Access 2.0 joint scoring</w:t>
      </w:r>
    </w:p>
    <w:p>
      <w:pPr>
        <w:pStyle w:val="FirstParagraph"/>
      </w:pPr>
      <w:r>
        <w:t xml:space="preserve">Export formats:</w:t>
      </w:r>
    </w:p>
    <w:p>
      <w:pPr>
        <w:numPr>
          <w:ilvl w:val="0"/>
          <w:numId w:val="1033"/>
        </w:numPr>
      </w:pPr>
      <w:r>
        <w:t xml:space="preserve">Simulation results: JSON, CSV, HDF5</w:t>
      </w:r>
    </w:p>
    <w:p>
      <w:pPr>
        <w:numPr>
          <w:ilvl w:val="0"/>
          <w:numId w:val="1033"/>
        </w:numPr>
      </w:pPr>
      <w:r>
        <w:t xml:space="preserve">CircRNA designs: GenBank, FASTA</w:t>
      </w:r>
    </w:p>
    <w:p>
      <w:pPr>
        <w:numPr>
          <w:ilvl w:val="0"/>
          <w:numId w:val="1033"/>
        </w:numPr>
      </w:pPr>
      <w:r>
        <w:t xml:space="preserve">Structures: PDB, mmCIF</w:t>
      </w:r>
    </w:p>
    <w:p>
      <w:pPr>
        <w:numPr>
          <w:ilvl w:val="0"/>
          <w:numId w:val="1033"/>
        </w:numPr>
      </w:pPr>
      <w:r>
        <w:t xml:space="preserve">Reports: PDF, HTML</w:t>
      </w:r>
    </w:p>
    <w:p>
      <w:pPr>
        <w:pStyle w:val="FirstParagraph"/>
      </w:pPr>
      <w:r>
        <w:t xml:space="preserve">§.§ What Remains Unvalidated</w:t>
      </w:r>
    </w:p>
    <w:p>
      <w:pPr>
        <w:pStyle w:val="BodyText"/>
      </w:pPr>
      <w:r>
        <w:t xml:space="preserve">Confluencia 3.0 makes claims that require wet-lab validation:</w:t>
      </w:r>
    </w:p>
    <w:p>
      <w:pPr>
        <w:pStyle w:val="BodyText"/>
      </w:pPr>
      <w:r>
        <w:t xml:space="preserve">Claim 1: CirculaPK captures circRNA-specific PK bottlenecks.</w:t>
      </w:r>
      <w:r>
        <w:t xml:space="preserve"> </w:t>
      </w:r>
      <w:r>
        <w:t xml:space="preserve">Status: Validated against literature values (4.1% error on half-lives), but independent experimental confirmation needed. The endosomal escape parameter shows 158% error, uncertainty in this rate-limiting step.</w:t>
      </w:r>
    </w:p>
    <w:p>
      <w:pPr>
        <w:pStyle w:val="BodyText"/>
      </w:pPr>
      <w:r>
        <w:t xml:space="preserve">Claim 2: Pathway-resolved immunogenicity scoring improves over GC baseline.</w:t>
      </w:r>
      <w:r>
        <w:t xml:space="preserve"> </w:t>
      </w:r>
      <w:r>
        <w:t xml:space="preserve">Status: Statistically significant improvement (ΔAIC=-8.2, p=0.004), but N=50 is modest. MDA5 and PKR pathways show 0% classification accuracy, indicating incomplete mechanistic understanding.</w:t>
      </w:r>
    </w:p>
    <w:p>
      <w:pPr>
        <w:pStyle w:val="BodyText"/>
      </w:pPr>
      <w:r>
        <w:t xml:space="preserve">Claim 3: TNBC subtype simulation predicts treatment response.</w:t>
      </w:r>
      <w:r>
        <w:t xml:space="preserve"> </w:t>
      </w:r>
      <w:r>
        <w:t xml:space="preserve">Status: Internal consistency validated via parameter-swap experiment, but external prediction not yet tested. The 2.6x IM vs. BLIS response difference reflects input parameterization rather than novel discovery.</w:t>
      </w:r>
    </w:p>
    <w:p>
      <w:pPr>
        <w:pStyle w:val="BodyText"/>
      </w:pPr>
      <w:r>
        <w:t xml:space="preserve">Claim 4: EventBus architecture enables longevity.</w:t>
      </w:r>
      <w:r>
        <w:t xml:space="preserve"> </w:t>
      </w:r>
      <w:r>
        <w:t xml:space="preserve">Status: Architectural claim, not scientific claim. Cannot be validated empirically until algorithms are deprecated and replaced.</w:t>
      </w:r>
    </w:p>
    <w:p>
      <w:pPr>
        <w:pStyle w:val="BodyText"/>
      </w:pPr>
      <w:r>
        <w:t xml:space="preserve">§.§ The circRNA Data Challenge and Our Multi-Source Solution</w:t>
      </w:r>
    </w:p>
    <w:p>
      <w:pPr>
        <w:pStyle w:val="BodyText"/>
      </w:pPr>
      <w:r>
        <w:t xml:space="preserve">The fundamental challenge for circRNA computational work is data scarcity:</w:t>
      </w:r>
    </w:p>
    <w:p>
      <w:pPr>
        <w:pStyle w:val="BodyText"/>
      </w:pPr>
      <w:r>
        <w:t xml:space="preserve">Structural data: PDB contains 0 experimental circRNA structures as of 2026.</w:t>
      </w:r>
    </w:p>
    <w:p>
      <w:pPr>
        <w:pStyle w:val="BodyText"/>
      </w:pPr>
      <w:r>
        <w:t xml:space="preserve">PK data: Limited to 4-5 constructs in literature (Wesselhoeft 2018).</w:t>
      </w:r>
    </w:p>
    <w:p>
      <w:pPr>
        <w:pStyle w:val="BodyText"/>
      </w:pPr>
      <w:r>
        <w:t xml:space="preserve">Immunogenicity data: Chen 2019 provides 7 sequences with IFN-β measurements.</w:t>
      </w:r>
    </w:p>
    <w:p>
      <w:pPr>
        <w:pStyle w:val="BodyText"/>
      </w:pPr>
      <w:r>
        <w:t xml:space="preserve">Our multi-source training data solution:</w:t>
      </w:r>
    </w:p>
    <w:p>
      <w:pPr>
        <w:numPr>
          <w:ilvl w:val="0"/>
          <w:numId w:val="1034"/>
        </w:numPr>
      </w:pPr>
      <w:r>
        <w:t xml:space="preserve">PDB circularized: 7 high-confidence structures from circularizing linear RNA structures (lengths 20-27 nt, confidence ∼0.95)</w:t>
      </w:r>
    </w:p>
    <w:p>
      <w:pPr>
        <w:numPr>
          <w:ilvl w:val="0"/>
          <w:numId w:val="1034"/>
        </w:numPr>
      </w:pPr>
      <w:r>
        <w:t xml:space="preserve">ViennaRNA circ-mode: Secondary structure predictions provide distance constraints</w:t>
      </w:r>
    </w:p>
    <w:p>
      <w:pPr>
        <w:numPr>
          <w:ilvl w:val="0"/>
          <w:numId w:val="1034"/>
        </w:numPr>
      </w:pPr>
      <w:r>
        <w:t xml:space="preserve">IsRNAcirc: Coarse-grained 3D predictions with circular constraints</w:t>
      </w:r>
    </w:p>
    <w:p>
      <w:pPr>
        <w:numPr>
          <w:ilvl w:val="0"/>
          <w:numId w:val="1034"/>
        </w:numPr>
      </w:pPr>
      <w:r>
        <w:t xml:space="preserve">icSHAPE-constrained: Experimental secondary structure data guides folding</w:t>
      </w:r>
    </w:p>
    <w:p>
      <w:pPr>
        <w:numPr>
          <w:ilvl w:val="0"/>
          <w:numId w:val="1034"/>
        </w:numPr>
      </w:pPr>
      <w:r>
        <w:t xml:space="preserve">Rfam consensus: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t xml:space="preserve">Circ-CASP: Community Benchmark. 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 “oracle” 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p>
      <w:pPr>
        <w:pStyle w:val="BodyText"/>
      </w:pPr>
      <w:r>
        <w:t xml:space="preserve">§.§ Power Analysis</w:t>
      </w:r>
    </w:p>
    <w:p>
      <w:pPr>
        <w:pStyle w:val="BodyText"/>
      </w:pPr>
      <w:r>
        <w:t xml:space="preserve">Immunogenicity correlation (r=0.91, N=7).</w:t>
      </w:r>
    </w:p>
    <w:p>
      <w:pPr>
        <w:numPr>
          <w:ilvl w:val="0"/>
          <w:numId w:val="1035"/>
        </w:numPr>
      </w:pPr>
      <w:r>
        <w:t xml:space="preserve">Standard error of r: SE ≈ 0.18</w:t>
      </w:r>
    </w:p>
    <w:p>
      <w:pPr>
        <w:numPr>
          <w:ilvl w:val="0"/>
          <w:numId w:val="1035"/>
        </w:numPr>
      </w:pPr>
      <w:r>
        <w:t xml:space="preserve">95% CI: [0.47, 0.99] (very wide)</w:t>
      </w:r>
    </w:p>
    <w:p>
      <w:pPr>
        <w:numPr>
          <w:ilvl w:val="0"/>
          <w:numId w:val="1035"/>
        </w:numPr>
      </w:pPr>
      <w:r>
        <w:t xml:space="preserve">Power to distinguish r=0.91 from r=0.50 at α=0.05: ∼0.35</w:t>
      </w:r>
    </w:p>
    <w:p>
      <w:pPr>
        <w:numPr>
          <w:ilvl w:val="0"/>
          <w:numId w:val="1035"/>
        </w:numPr>
      </w:pPr>
      <w:r>
        <w:t xml:space="preserve">Required N for power=0.80: ∼20 sequences</w:t>
      </w:r>
    </w:p>
    <w:p>
      <w:pPr>
        <w:pStyle w:val="FirstParagraph"/>
      </w:pPr>
      <w:r>
        <w:t xml:space="preserve">PK model comparison (N=4).</w:t>
      </w:r>
    </w:p>
    <w:p>
      <w:pPr>
        <w:numPr>
          <w:ilvl w:val="0"/>
          <w:numId w:val="1036"/>
        </w:numPr>
      </w:pPr>
      <w:r>
        <w:t xml:space="preserve">Six-compartment AIC=18.2 vs. two-compartment AIC=22.7</w:t>
      </w:r>
    </w:p>
    <w:p>
      <w:pPr>
        <w:numPr>
          <w:ilvl w:val="0"/>
          <w:numId w:val="1036"/>
        </w:numPr>
      </w:pPr>
      <w:r>
        <w:t xml:space="preserve">ΔAIC=4.5 favors six-compartment, but not significant at N=4</w:t>
      </w:r>
    </w:p>
    <w:p>
      <w:pPr>
        <w:numPr>
          <w:ilvl w:val="0"/>
          <w:numId w:val="1036"/>
        </w:numPr>
      </w:pPr>
      <w:r>
        <w:t xml:space="preserve">Required N for power=0.80 at α=0.05: ∼12 constructs</w:t>
      </w:r>
    </w:p>
    <w:p>
      <w:pPr>
        <w:pStyle w:val="FirstParagraph"/>
      </w:pPr>
      <w:r>
        <w:t xml:space="preserve">Subtype comparison (N=4 subtypes).</w:t>
      </w:r>
    </w:p>
    <w:p>
      <w:pPr>
        <w:numPr>
          <w:ilvl w:val="0"/>
          <w:numId w:val="1037"/>
        </w:numPr>
      </w:pPr>
      <w:r>
        <w:t xml:space="preserve">IM vs. BLIS difference: 2.6x (p&lt;0.01)</w:t>
      </w:r>
    </w:p>
    <w:p>
      <w:pPr>
        <w:numPr>
          <w:ilvl w:val="0"/>
          <w:numId w:val="1037"/>
        </w:numPr>
      </w:pPr>
      <w:r>
        <w:t xml:space="preserve">Within-subtype variance: adequately characterized</w:t>
      </w:r>
    </w:p>
    <w:p>
      <w:pPr>
        <w:numPr>
          <w:ilvl w:val="0"/>
          <w:numId w:val="1037"/>
        </w:numPr>
      </w:pPr>
      <w:r>
        <w:t xml:space="preserve">Cross-subtype inference: limited by N=4</w:t>
      </w:r>
    </w:p>
    <w:p>
      <w:pPr>
        <w:pStyle w:val="FirstParagraph"/>
      </w:pPr>
      <w:r>
        <w:t xml:space="preserve">§.§ The Federated Sharing Response</w:t>
      </w:r>
    </w:p>
    <w:p>
      <w:pPr>
        <w:pStyle w:val="BodyText"/>
      </w:pPr>
      <w:r>
        <w:t xml:space="preserve">Confluencia Hub implements federated model sharing to address data scarcity:</w:t>
      </w:r>
    </w:p>
    <w:p>
      <w:pPr>
        <w:pStyle w:val="BodyText"/>
      </w:pPr>
      <w:r>
        <w:t xml:space="preserve">Upload process:</w:t>
      </w:r>
    </w:p>
    <w:p>
      <w:pPr>
        <w:numPr>
          <w:ilvl w:val="0"/>
          <w:numId w:val="1038"/>
        </w:numPr>
      </w:pPr>
      <w:r>
        <w:t xml:space="preserve">User trains model locally on private data</w:t>
      </w:r>
    </w:p>
    <w:p>
      <w:pPr>
        <w:numPr>
          <w:ilvl w:val="0"/>
          <w:numId w:val="1038"/>
        </w:numPr>
      </w:pPr>
      <w:r>
        <w:t xml:space="preserve">Model bundle (architecture + weights + hyperparameters) uploaded</w:t>
      </w:r>
    </w:p>
    <w:p>
      <w:pPr>
        <w:numPr>
          <w:ilvl w:val="0"/>
          <w:numId w:val="1038"/>
        </w:numPr>
      </w:pPr>
      <w:r>
        <w:t xml:space="preserve">Ethics-gated upload: DOI or IRB number required</w:t>
      </w:r>
    </w:p>
    <w:p>
      <w:pPr>
        <w:numPr>
          <w:ilvl w:val="0"/>
          <w:numId w:val="1038"/>
        </w:numPr>
      </w:pPr>
      <w:r>
        <w:t xml:space="preserve">Dual-use screening: Automated flagging of harmful applications</w:t>
      </w:r>
    </w:p>
    <w:p>
      <w:pPr>
        <w:numPr>
          <w:ilvl w:val="0"/>
          <w:numId w:val="1038"/>
        </w:numPr>
      </w:pPr>
      <w:r>
        <w:t xml:space="preserve">SHA256 hash verification: Mitigates code execution risks</w:t>
      </w:r>
    </w:p>
    <w:p>
      <w:pPr>
        <w:pStyle w:val="FirstParagraph"/>
      </w:pPr>
      <w:r>
        <w:t xml:space="preserve">Download process:</w:t>
      </w:r>
    </w:p>
    <w:p>
      <w:pPr>
        <w:numPr>
          <w:ilvl w:val="0"/>
          <w:numId w:val="1039"/>
        </w:numPr>
      </w:pPr>
      <w:r>
        <w:t xml:space="preserve">User searches model registry by task/organism/conditions</w:t>
      </w:r>
    </w:p>
    <w:p>
      <w:pPr>
        <w:numPr>
          <w:ilvl w:val="0"/>
          <w:numId w:val="1039"/>
        </w:numPr>
      </w:pPr>
      <w:r>
        <w:t xml:space="preserve">Model bundle downloaded and loaded</w:t>
      </w:r>
    </w:p>
    <w:p>
      <w:pPr>
        <w:numPr>
          <w:ilvl w:val="0"/>
          <w:numId w:val="1039"/>
        </w:numPr>
      </w:pPr>
      <w:r>
        <w:t xml:space="preserve">Fine-tuning on local data optional</w:t>
      </w:r>
    </w:p>
    <w:p>
      <w:pPr>
        <w:pStyle w:val="FirstParagraph"/>
      </w:pPr>
      <w:r>
        <w:t xml:space="preserve">Privacy preservation:</w:t>
      </w:r>
    </w:p>
    <w:p>
      <w:pPr>
        <w:numPr>
          <w:ilvl w:val="0"/>
          <w:numId w:val="1040"/>
        </w:numPr>
      </w:pPr>
      <w:r>
        <w:t xml:space="preserve">No raw sequences or SMILES uploaded</w:t>
      </w:r>
    </w:p>
    <w:p>
      <w:pPr>
        <w:numPr>
          <w:ilvl w:val="0"/>
          <w:numId w:val="1040"/>
        </w:numPr>
      </w:pPr>
      <w:r>
        <w:t xml:space="preserve">Statistical traces can be stripped before upload</w:t>
      </w:r>
    </w:p>
    <w:p>
      <w:pPr>
        <w:numPr>
          <w:ilvl w:val="0"/>
          <w:numId w:val="1040"/>
        </w:numPr>
      </w:pPr>
      <w:r>
        <w:t xml:space="preserve">Model weights are abstract representations</w:t>
      </w:r>
    </w:p>
    <w:p>
      <w:pPr>
        <w:pStyle w:val="FirstParagraph"/>
      </w:pPr>
      <w:r>
        <w:t xml:space="preserve">§ LIMITATIONS</w:t>
      </w:r>
    </w:p>
    <w:p>
      <w:pPr>
        <w:pStyle w:val="BodyText"/>
      </w:pPr>
      <w:r>
        <w:t xml:space="preserve">Confluencia 3.0 has several limitations:</w:t>
      </w:r>
    </w:p>
    <w:p>
      <w:pPr>
        <w:pStyle w:val="BodyText"/>
      </w:pPr>
      <w:r>
        <w:t xml:space="preserve">Data scarcity. 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t xml:space="preserve">Small sample sizes. Validation benchmarks have N=4-7, limiting statistical power. Confidence intervals are wide, and model comparison is underpowered. Larger validation studies are needed for definitive conclusions.</w:t>
      </w:r>
    </w:p>
    <w:p>
      <w:pPr>
        <w:pStyle w:val="BodyText"/>
      </w:pPr>
      <w:r>
        <w:t xml:space="preserve">Simplified biology. The TNBC simulation abstracts complex tumor biology into parameterized dynamics. Real tumors exhibit heterogeneity beyond four subtypes, and the simulation cannot capture all resistance mechanisms.</w:t>
      </w:r>
    </w:p>
    <w:p>
      <w:pPr>
        <w:pStyle w:val="BodyText"/>
      </w:pPr>
      <w:r>
        <w:t xml:space="preserve">No experimental validation. All results are computational. Wet-lab validation (ongoing) is required to confirm predictive utility.</w:t>
      </w:r>
    </w:p>
    <w:p>
      <w:pPr>
        <w:pStyle w:val="BodyText"/>
      </w:pPr>
      <w:r>
        <w:t xml:space="preserve">Computational requirements. Full simulation with GPU acceleration requires NVIDIA GPU with ≥8GB VRAM. Streamlit UI requires stable internet for cloud deployment. PyQt6 desktop IDE provides offline alternative.</w:t>
      </w:r>
    </w:p>
    <w:p>
      <w:pPr>
        <w:pStyle w:val="BodyText"/>
      </w:pPr>
      <w:r>
        <w:t xml:space="preserve">Algorithm dependencies. While EventBus architecture enables algorithm replacement, current implementations depend on external tools (ViennaRNA, ESM2) that may have licensing or availability restrictions.</w:t>
      </w:r>
    </w:p>
    <w:p>
      <w:pPr>
        <w:pStyle w:val="BodyText"/>
      </w:pPr>
      <w:r>
        <w:t xml:space="preserve">§ DATA AVAILABILITY STATEMENT</w:t>
      </w:r>
    </w:p>
    <w:p>
      <w:pPr>
        <w:pStyle w:val="BodyText"/>
      </w:pPr>
      <w:r>
        <w:t xml:space="preserve">Simulation data. All simulation parameters and initial conditions are available in the Confluencia 3.0 code repository (github.com/RomanCohort/confluencia). Simulation outputs are reproducible via provided random seeds.</w:t>
      </w:r>
    </w:p>
    <w:p>
      <w:pPr>
        <w:pStyle w:val="BodyText"/>
      </w:pPr>
      <w:r>
        <w:t xml:space="preserve">Training data.</w:t>
      </w:r>
    </w:p>
    <w:p>
      <w:pPr>
        <w:numPr>
          <w:ilvl w:val="0"/>
          <w:numId w:val="1041"/>
        </w:numPr>
      </w:pPr>
      <w:r>
        <w:t xml:space="preserve">circRNA structure: Multi-source training data available via Circ-CASP competition (github.com/RomanCohort/circ-casp)</w:t>
      </w:r>
    </w:p>
    <w:p>
      <w:pPr>
        <w:numPr>
          <w:ilvl w:val="0"/>
          <w:numId w:val="1041"/>
        </w:numPr>
      </w:pPr>
      <w:r>
        <w:t xml:space="preserve">PK parameters: Literature-derived parameters cited in Methods</w:t>
      </w:r>
    </w:p>
    <w:p>
      <w:pPr>
        <w:numPr>
          <w:ilvl w:val="0"/>
          <w:numId w:val="1041"/>
        </w:numPr>
      </w:pPr>
      <w:r>
        <w:t xml:space="preserve">Immunogenicity: Chen et al. (2019) IFN-β measurements (N=7) available in Supplementary Data 1</w:t>
      </w:r>
    </w:p>
    <w:p>
      <w:pPr>
        <w:pStyle w:val="FirstParagraph"/>
      </w:pPr>
      <w:r>
        <w:t xml:space="preserve">Validation data.</w:t>
      </w:r>
    </w:p>
    <w:p>
      <w:pPr>
        <w:numPr>
          <w:ilvl w:val="0"/>
          <w:numId w:val="1042"/>
        </w:numPr>
      </w:pPr>
      <w:r>
        <w:t xml:space="preserve">Wesselhoeft et al. (2018) half-life data: Supplementary Table 1</w:t>
      </w:r>
    </w:p>
    <w:p>
      <w:pPr>
        <w:numPr>
          <w:ilvl w:val="0"/>
          <w:numId w:val="1042"/>
        </w:numPr>
      </w:pPr>
      <w:r>
        <w:t xml:space="preserve">Chen et al. (2019) immunogenicity data: Supplementary Data 1</w:t>
      </w:r>
    </w:p>
    <w:p>
      <w:pPr>
        <w:numPr>
          <w:ilvl w:val="0"/>
          <w:numId w:val="1042"/>
        </w:numPr>
      </w:pPr>
      <w:r>
        <w:t xml:space="preserve">Jiang et al. (2019) TNBC subtype parameters: Table</w:t>
      </w:r>
      <w:r>
        <w:t xml:space="preserve"> </w:t>
      </w:r>
    </w:p>
    <w:p>
      <w:pPr>
        <w:pStyle w:val="FirstParagraph"/>
      </w:pPr>
      <w:r>
        <w:t xml:space="preserve">Confluencia Hub. Federated model bundles available at confluencia-hub.org. Model metadata includes training data sources, performance metrics, and usage examples.</w:t>
      </w:r>
    </w:p>
    <w:p>
      <w:pPr>
        <w:pStyle w:val="BodyText"/>
      </w:pPr>
      <w:r>
        <w:t xml:space="preserve">Wet-lab validation (in progress). We are collaborating with medical school researchers to generate experimental data: (1) IFN-β 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p>
      <w:pPr>
        <w:pStyle w:val="BodyText"/>
      </w:pPr>
      <w:r>
        <w:t xml:space="preserve">§ CODE AVAILABILITY</w:t>
      </w:r>
    </w:p>
    <w:p>
      <w:pPr>
        <w:pStyle w:val="BodyText"/>
      </w:pPr>
      <w:r>
        <w:t xml:space="preserve">Confluencia 3.0 is available under MIT license:</w:t>
      </w:r>
    </w:p>
    <w:p>
      <w:pPr>
        <w:pStyle w:val="BodyText"/>
      </w:pPr>
      <w:r>
        <w:t xml:space="preserve">Main repository: github.com/RomanCohort/confluencia</w:t>
      </w:r>
    </w:p>
    <w:p>
      <w:pPr>
        <w:pStyle w:val="BodyText"/>
      </w:pPr>
      <w:r>
        <w:t xml:space="preserve">Components:</w:t>
      </w:r>
    </w:p>
    <w:p>
      <w:pPr>
        <w:numPr>
          <w:ilvl w:val="0"/>
          <w:numId w:val="1043"/>
        </w:numPr>
      </w:pPr>
      <w:r>
        <w:t xml:space="preserve">Core simulation: confluencia/simulacrum/</w:t>
      </w:r>
    </w:p>
    <w:p>
      <w:pPr>
        <w:numPr>
          <w:ilvl w:val="0"/>
          <w:numId w:val="1043"/>
        </w:numPr>
      </w:pPr>
      <w:r>
        <w:t xml:space="preserve">Streamlit UI: confluencia/ui/streamlit_app.py</w:t>
      </w:r>
    </w:p>
    <w:p>
      <w:pPr>
        <w:numPr>
          <w:ilvl w:val="0"/>
          <w:numId w:val="1043"/>
        </w:numPr>
      </w:pPr>
      <w:r>
        <w:t xml:space="preserve">PyQt6 IDE: confluencia/ui/qt_main.py</w:t>
      </w:r>
    </w:p>
    <w:p>
      <w:pPr>
        <w:numPr>
          <w:ilvl w:val="0"/>
          <w:numId w:val="1043"/>
        </w:numPr>
      </w:pPr>
      <w:r>
        <w:t xml:space="preserve">R package: confluencia/R/</w:t>
      </w:r>
    </w:p>
    <w:p>
      <w:pPr>
        <w:numPr>
          <w:ilvl w:val="0"/>
          <w:numId w:val="1043"/>
        </w:numPr>
      </w:pPr>
      <w:r>
        <w:t xml:space="preserve">CLI: confluencia/cli.py</w:t>
      </w:r>
    </w:p>
    <w:p>
      <w:pPr>
        <w:pStyle w:val="FirstParagraph"/>
      </w:pPr>
      <w:r>
        <w:t xml:space="preserve">Installation:</w:t>
      </w:r>
    </w:p>
    <w:p>
      <w:pPr>
        <w:pStyle w:val="BodyText"/>
      </w:pPr>
      <w:r>
        <w:t xml:space="preserve">Documentation: confluencia.readthedocs.io</w:t>
      </w:r>
    </w:p>
    <w:p>
      <w:pPr>
        <w:pStyle w:val="BodyText"/>
      </w:pPr>
      <w:r>
        <w:t xml:space="preserve">Test coverage: 87% via pytest</w:t>
      </w:r>
    </w:p>
    <w:p>
      <w:pPr>
        <w:pStyle w:val="BodyText"/>
      </w:pPr>
      <w:r>
        <w:t xml:space="preserve">Circ-CASP competition: github.com/RomanCohort/circ-casp</w:t>
      </w:r>
    </w:p>
    <w:p>
      <w:pPr>
        <w:pStyle w:val="BodyText"/>
      </w:pPr>
      <w:r>
        <w:t xml:space="preserve">Confluencia Hub: confluencia-hub.org</w:t>
      </w:r>
    </w:p>
    <w:p>
      <w:pPr>
        <w:pStyle w:val="BodyText"/>
      </w:pPr>
      <w:r>
        <w:t xml:space="preserve">§ ACKNOWLEDGMENTS</w:t>
      </w:r>
    </w:p>
    <w:p>
      <w:pPr>
        <w:pStyle w:val="BodyText"/>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p>
      <w:pPr>
        <w:pStyle w:val="BodyText"/>
      </w:pPr>
      <w:r>
        <w:t xml:space="preserve">plainnat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2026-06-27T06:56:50Z</dcterms:created>
  <dcterms:modified xsi:type="dcterms:W3CDTF">2026-06-27T06:56:50Z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