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efc69e8ac689068ec503550528b5e91195054e"/>
    <w:p>
      <w:pPr>
        <w:pStyle w:val="Heading1"/>
      </w:pPr>
      <w:r>
        <w:t xml:space="preserve">TorusFold: Torus-Aware Deep Learning Architectures for Circular RNA 3D Structure Prediction</w:t>
      </w:r>
    </w:p>
    <w:p>
      <w:pPr>
        <w:pStyle w:val="FirstParagraph"/>
      </w:pPr>
      <w:r>
        <w:rPr>
          <w:b/>
          <w:bCs/>
        </w:rPr>
        <w:t xml:space="preserve">Ziyi Yan</w:t>
      </w:r>
    </w:p>
    <w:p>
      <w:pPr>
        <w:pStyle w:val="BodyText"/>
      </w:pPr>
      <w:r>
        <w:t xml:space="preserve">College of Computer Science and Technology, Jilin University, Changchun, China</w:t>
      </w:r>
    </w:p>
    <w:p>
      <w:pPr>
        <w:pStyle w:val="BodyText"/>
      </w:pPr>
      <w:r>
        <w:t xml:space="preserve">ORCID: 0009-0007-8127-8037</w:t>
      </w:r>
    </w:p>
    <w:p>
      <w:r>
        <w:pict>
          <v:rect style="width:0;height:1.5pt" o:hralign="center" o:hrstd="t" o:hr="t"/>
        </w:pic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bookmarkStart w:id="9" w:name="introduction"/>
    <w:p>
      <w:pPr>
        <w:pStyle w:val="Heading2"/>
      </w:pPr>
      <w:r>
        <w:t xml:space="preserve">INTRODUCTION</w:t>
      </w:r>
    </w:p>
    <w:p>
      <w:pPr>
        <w:pStyle w:val="FirstParagraph"/>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bookmarkEnd w:id="9"/>
    <w:bookmarkStart w:id="34" w:name="results"/>
    <w:p>
      <w:pPr>
        <w:pStyle w:val="Heading2"/>
      </w:pPr>
      <w:r>
        <w:t xml:space="preserve">RESULTS</w:t>
      </w:r>
    </w:p>
    <w:p>
      <w:pPr>
        <w:pStyle w:val="FirstParagraph"/>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BodyText"/>
      </w:pPr>
      <m:oMathPara>
        <m:oMathParaPr>
          <m:jc m:val="center"/>
        </m:oMathParaPr>
        <m:oMath>
          <m:r>
            <m:t>P</m:t>
          </m:r>
          <m:r>
            <m:t>E</m:t>
          </m:r>
          <m:r>
            <m:rPr>
              <m:sty m:val="p"/>
            </m:rPr>
            <m:t>(</m:t>
          </m:r>
          <m:r>
            <m:t>i</m:t>
          </m:r>
          <m:r>
            <m:rPr>
              <m:sty m:val="p"/>
            </m:rPr>
            <m:t>,</m:t>
          </m:r>
          <m:r>
            <m:t>2</m:t>
          </m:r>
          <m:r>
            <m:t>h</m:t>
          </m:r>
          <m:r>
            <m:rPr>
              <m:sty m:val="p"/>
            </m:rPr>
            <m:t>)</m:t>
          </m:r>
          <m:r>
            <m:rPr>
              <m:sty m:val="p"/>
            </m:rPr>
            <m:t>=</m:t>
          </m:r>
          <m:r>
            <m:rPr>
              <m:sty m:val="p"/>
            </m:rPr>
            <m:t>sin</m:t>
          </m:r>
          <m:d>
            <m:dPr>
              <m:begChr m:val="("/>
              <m:sepChr m:val=""/>
              <m:endChr m:val=")"/>
              <m:grow/>
            </m:dPr>
            <m:e>
              <m:f>
                <m:fPr>
                  <m:type m:val="bar"/>
                </m:fPr>
                <m:num>
                  <m:r>
                    <m:t>i</m:t>
                  </m:r>
                </m:num>
                <m:den>
                  <m:sSup>
                    <m:e>
                      <m:r>
                        <m:t>10000</m:t>
                      </m:r>
                    </m:e>
                    <m:sup>
                      <m:r>
                        <m:t>2</m:t>
                      </m:r>
                      <m:r>
                        <m:t>h</m:t>
                      </m:r>
                      <m:r>
                        <m:rPr>
                          <m:sty m:val="p"/>
                        </m:rPr>
                        <m:t>/</m:t>
                      </m:r>
                      <m:r>
                        <m:t>d</m:t>
                      </m:r>
                    </m:sup>
                  </m:sSup>
                </m:den>
              </m:f>
            </m:e>
          </m:d>
        </m:oMath>
      </m:oMathPara>
    </w:p>
    <w:p>
      <w:pPr>
        <w:pStyle w:val="FirstParagraph"/>
      </w:pPr>
      <m:oMathPara>
        <m:oMathParaPr>
          <m:jc m:val="center"/>
        </m:oMathParaPr>
        <m:oMath>
          <m:r>
            <m:t>P</m:t>
          </m:r>
          <m:r>
            <m:t>E</m:t>
          </m:r>
          <m:r>
            <m:rPr>
              <m:sty m:val="p"/>
            </m:rPr>
            <m:t>(</m:t>
          </m:r>
          <m:r>
            <m:t>i</m:t>
          </m:r>
          <m:r>
            <m:rPr>
              <m:sty m:val="p"/>
            </m:rPr>
            <m:t>,</m:t>
          </m:r>
          <m:r>
            <m:t>2</m:t>
          </m:r>
          <m:r>
            <m:t>h</m:t>
          </m:r>
          <m:r>
            <m:rPr>
              <m:sty m:val="p"/>
            </m:rPr>
            <m:t>+</m:t>
          </m:r>
          <m:r>
            <m:t>1</m:t>
          </m:r>
          <m:r>
            <m:rPr>
              <m:sty m:val="p"/>
            </m:rPr>
            <m:t>)</m:t>
          </m:r>
          <m:r>
            <m:rPr>
              <m:sty m:val="p"/>
            </m:rPr>
            <m:t>=</m:t>
          </m:r>
          <m:r>
            <m:rPr>
              <m:sty m:val="p"/>
            </m:rPr>
            <m:t>cos</m:t>
          </m:r>
          <m:d>
            <m:dPr>
              <m:begChr m:val="("/>
              <m:sepChr m:val=""/>
              <m:endChr m:val=")"/>
              <m:grow/>
            </m:dPr>
            <m:e>
              <m:f>
                <m:fPr>
                  <m:type m:val="bar"/>
                </m:fPr>
                <m:num>
                  <m:r>
                    <m:t>i</m:t>
                  </m:r>
                </m:num>
                <m:den>
                  <m:sSup>
                    <m:e>
                      <m:r>
                        <m:t>10000</m:t>
                      </m:r>
                    </m:e>
                    <m:sup>
                      <m:r>
                        <m:t>2</m:t>
                      </m:r>
                      <m:r>
                        <m:t>h</m:t>
                      </m:r>
                      <m:r>
                        <m:rPr>
                          <m:sty m:val="p"/>
                        </m:rPr>
                        <m:t>/</m:t>
                      </m:r>
                      <m:r>
                        <m:t>d</m:t>
                      </m:r>
                    </m:sup>
                  </m:sSup>
                </m:den>
              </m:f>
            </m:e>
          </m:d>
        </m:oMath>
      </m:oMathPara>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BodyText"/>
      </w:pPr>
      <m:oMathPara>
        <m:oMathParaPr>
          <m:jc m:val="center"/>
        </m:oMathParaPr>
        <m:oMath>
          <m:r>
            <m:t>T</m:t>
          </m:r>
          <m:r>
            <m:t>P</m:t>
          </m:r>
          <m:r>
            <m:t>E</m:t>
          </m:r>
          <m:r>
            <m:rPr>
              <m:sty m:val="p"/>
            </m:rPr>
            <m:t>(</m:t>
          </m:r>
          <m:r>
            <m:t>i</m:t>
          </m:r>
          <m:r>
            <m:rPr>
              <m:sty m:val="p"/>
            </m:rPr>
            <m:t>,</m:t>
          </m:r>
          <m:r>
            <m:t>2</m:t>
          </m:r>
          <m:r>
            <m:t>h</m:t>
          </m:r>
          <m:r>
            <m:rPr>
              <m:sty m:val="p"/>
            </m:rPr>
            <m:t>)</m:t>
          </m:r>
          <m:r>
            <m:rPr>
              <m:sty m:val="p"/>
            </m:rPr>
            <m:t>=</m:t>
          </m:r>
          <m:r>
            <m:rPr>
              <m:sty m:val="p"/>
            </m:rPr>
            <m:t>sin</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m:oMathPara>
        <m:oMathParaPr>
          <m:jc m:val="center"/>
        </m:oMathParaPr>
        <m:oMath>
          <m:r>
            <m:t>T</m:t>
          </m:r>
          <m:r>
            <m:t>P</m:t>
          </m:r>
          <m:r>
            <m:t>E</m:t>
          </m:r>
          <m:r>
            <m:rPr>
              <m:sty m:val="p"/>
            </m:rPr>
            <m:t>(</m:t>
          </m:r>
          <m:r>
            <m:t>i</m:t>
          </m:r>
          <m:r>
            <m:rPr>
              <m:sty m:val="p"/>
            </m:rPr>
            <m:t>,</m:t>
          </m:r>
          <m:r>
            <m:t>2</m:t>
          </m:r>
          <m:r>
            <m:t>h</m:t>
          </m:r>
          <m:r>
            <m:rPr>
              <m:sty m:val="p"/>
            </m:rPr>
            <m:t>+</m:t>
          </m:r>
          <m:r>
            <m:t>1</m:t>
          </m:r>
          <m:r>
            <m:rPr>
              <m:sty m:val="p"/>
            </m:rPr>
            <m:t>)</m:t>
          </m:r>
          <m:r>
            <m:rPr>
              <m:sty m:val="p"/>
            </m:rPr>
            <m:t>=</m:t>
          </m:r>
          <m:r>
            <m:rPr>
              <m:sty m:val="p"/>
            </m:rPr>
            <m:t>cos</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PE periodicity" title="" id="11" name="Picture"/>
            <a:graphic>
              <a:graphicData uri="http://schemas.openxmlformats.org/drawingml/2006/picture">
                <pic:pic>
                  <pic:nvPicPr>
                    <pic:cNvPr descr="figures_png/fig1_tpe_periodicity.png" id="12" name="Picture"/>
                    <pic:cNvPicPr>
                      <a:picLocks noChangeArrowheads="1" noChangeAspect="1"/>
                    </pic:cNvPicPr>
                  </pic:nvPicPr>
                  <pic:blipFill>
                    <a:blip r:embed="rId10"/>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TPE periodicity</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Architectures" title="" id="14" name="Picture"/>
            <a:graphic>
              <a:graphicData uri="http://schemas.openxmlformats.org/drawingml/2006/picture">
                <pic:pic>
                  <pic:nvPicPr>
                    <pic:cNvPr descr="figures_png/fig2_architecture_comparison.png" id="15" name="Picture"/>
                    <pic:cNvPicPr>
                      <a:picLocks noChangeArrowheads="1" noChangeAspect="1"/>
                    </pic:cNvPicPr>
                  </pic:nvPicPr>
                  <pic:blipFill>
                    <a:blip r:embed="rId13"/>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title="" id="17" name="Picture"/>
            <a:graphic>
              <a:graphicData uri="http://schemas.openxmlformats.org/drawingml/2006/picture">
                <pic:pic>
                  <pic:nvPicPr>
                    <pic:cNvPr descr="figures_png/fig3_scheme6_architecture.png" id="18" name="Picture"/>
                    <pic:cNvPicPr>
                      <a:picLocks noChangeArrowheads="1" noChangeAspect="1"/>
                    </pic:cNvPicPr>
                  </pic:nvPicPr>
                  <pic:blipFill>
                    <a:blip r:embed="rId16"/>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Baselines" title="" id="20" name="Picture"/>
            <a:graphic>
              <a:graphicData uri="http://schemas.openxmlformats.org/drawingml/2006/picture">
                <pic:pic>
                  <pic:nvPicPr>
                    <pic:cNvPr descr="figures_png/fig4_external_baselines.png" id="21" name="Picture"/>
                    <pic:cNvPicPr>
                      <a:picLocks noChangeArrowheads="1" noChangeAspect="1"/>
                    </pic:cNvPicPr>
                  </pic:nvPicPr>
                  <pic:blipFill>
                    <a:blip r:embed="rId19"/>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Baselines</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Ablation" title="" id="23" name="Picture"/>
            <a:graphic>
              <a:graphicData uri="http://schemas.openxmlformats.org/drawingml/2006/picture">
                <pic:pic>
                  <pic:nvPicPr>
                    <pic:cNvPr descr="figures_png/fig5_tpe_ablation.png" id="24" name="Picture"/>
                    <pic:cNvPicPr>
                      <a:picLocks noChangeArrowheads="1" noChangeAspect="1"/>
                    </pic:cNvPicPr>
                  </pic:nvPicPr>
                  <pic:blipFill>
                    <a:blip r:embed="rId22"/>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title="" id="26" name="Picture"/>
            <a:graphic>
              <a:graphicData uri="http://schemas.openxmlformats.org/drawingml/2006/picture">
                <pic:pic>
                  <pic:nvPicPr>
                    <pic:cNvPr descr="figures_png/fig6_data_quality.png" id="27" name="Picture"/>
                    <pic:cNvPicPr>
                      <a:picLocks noChangeArrowheads="1" noChangeAspect="1"/>
                    </pic:cNvPicPr>
                  </pic:nvPicPr>
                  <pic:blipFill>
                    <a:blip r:embed="rId25"/>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Scaling" title="" id="29" name="Picture"/>
            <a:graphic>
              <a:graphicData uri="http://schemas.openxmlformats.org/drawingml/2006/picture">
                <pic:pic>
                  <pic:nvPicPr>
                    <pic:cNvPr descr="figures_png/fig7_length_scaling.png" id="30" name="Picture"/>
                    <pic:cNvPicPr>
                      <a:picLocks noChangeArrowheads="1" noChangeAspect="1"/>
                    </pic:cNvPicPr>
                  </pic:nvPicPr>
                  <pic:blipFill>
                    <a:blip r:embed="rId28"/>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title="" id="32" name="Picture"/>
            <a:graphic>
              <a:graphicData uri="http://schemas.openxmlformats.org/drawingml/2006/picture">
                <pic:pic>
                  <pic:nvPicPr>
                    <pic:cNvPr descr="figures_png/fig8_failure_analysis.png" id="33" name="Picture"/>
                    <pic:cNvPicPr>
                      <a:picLocks noChangeArrowheads="1" noChangeAspect="1"/>
                    </pic:cNvPicPr>
                  </pic:nvPicPr>
                  <pic:blipFill>
                    <a:blip r:embed="rId31"/>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bookmarkEnd w:id="34"/>
    <w:bookmarkStart w:id="35" w:name="discussion"/>
    <w:p>
      <w:pPr>
        <w:pStyle w:val="Heading2"/>
      </w:pPr>
      <w:r>
        <w:t xml:space="preserve">DISCUSSION</w:t>
      </w:r>
    </w:p>
    <w:p>
      <w:pPr>
        <w:pStyle w:val="FirstParagraph"/>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bookmarkEnd w:id="35"/>
    <w:bookmarkStart w:id="36" w:name="methods"/>
    <w:p>
      <w:pPr>
        <w:pStyle w:val="Heading2"/>
      </w:pPr>
      <w:r>
        <w:t xml:space="preserve">METHODS</w:t>
      </w:r>
    </w:p>
    <w:p>
      <w:pPr>
        <w:pStyle w:val="FirstParagraph"/>
      </w:pPr>
      <w:r>
        <w:t xml:space="preserve">### Torus Positional Encoding</w:t>
      </w:r>
    </w:p>
    <w:p>
      <w:pPr>
        <w:pStyle w:val="BodyText"/>
      </w:pPr>
      <w:r>
        <w:t xml:space="preserve">Torus Positional Encoding (TPE) is defined as:</w:t>
      </w:r>
    </w:p>
    <w:p>
      <w:pPr>
        <w:pStyle w:val="BodyText"/>
      </w:pPr>
      <m:oMathPara>
        <m:oMathParaPr>
          <m:jc m:val="center"/>
        </m:oMathParaPr>
        <m:oMath>
          <m:r>
            <m:t>T</m:t>
          </m:r>
          <m:r>
            <m:t>P</m:t>
          </m:r>
          <m:r>
            <m:t>E</m:t>
          </m:r>
          <m:r>
            <m:rPr>
              <m:sty m:val="p"/>
            </m:rPr>
            <m:t>(</m:t>
          </m:r>
          <m:r>
            <m:t>i</m:t>
          </m:r>
          <m:r>
            <m:rPr>
              <m:sty m:val="p"/>
            </m:rPr>
            <m:t>,</m:t>
          </m:r>
          <m:r>
            <m:t>2</m:t>
          </m:r>
          <m:r>
            <m:t>h</m:t>
          </m:r>
          <m:r>
            <m:rPr>
              <m:sty m:val="p"/>
            </m:rPr>
            <m:t>)</m:t>
          </m:r>
          <m:r>
            <m:rPr>
              <m:sty m:val="p"/>
            </m:rPr>
            <m:t>=</m:t>
          </m:r>
          <m:r>
            <m:rPr>
              <m:sty m:val="p"/>
            </m:rPr>
            <m:t>sin</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m:oMathPara>
        <m:oMathParaPr>
          <m:jc m:val="center"/>
        </m:oMathParaPr>
        <m:oMath>
          <m:r>
            <m:t>T</m:t>
          </m:r>
          <m:r>
            <m:t>P</m:t>
          </m:r>
          <m:r>
            <m:t>E</m:t>
          </m:r>
          <m:r>
            <m:rPr>
              <m:sty m:val="p"/>
            </m:rPr>
            <m:t>(</m:t>
          </m:r>
          <m:r>
            <m:t>i</m:t>
          </m:r>
          <m:r>
            <m:rPr>
              <m:sty m:val="p"/>
            </m:rPr>
            <m:t>,</m:t>
          </m:r>
          <m:r>
            <m:t>2</m:t>
          </m:r>
          <m:r>
            <m:t>h</m:t>
          </m:r>
          <m:r>
            <m:rPr>
              <m:sty m:val="p"/>
            </m:rPr>
            <m:t>+</m:t>
          </m:r>
          <m:r>
            <m:t>1</m:t>
          </m:r>
          <m:r>
            <m:rPr>
              <m:sty m:val="p"/>
            </m:rPr>
            <m:t>)</m:t>
          </m:r>
          <m:r>
            <m:rPr>
              <m:sty m:val="p"/>
            </m:rPr>
            <m:t>=</m:t>
          </m:r>
          <m:r>
            <m:rPr>
              <m:sty m:val="p"/>
            </m:rPr>
            <m:t>cos</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bookmarkEnd w:id="36"/>
    <w:bookmarkStart w:id="37" w:name="data-and-code-availability"/>
    <w:p>
      <w:pPr>
        <w:pStyle w:val="Heading2"/>
      </w:pPr>
      <w:r>
        <w:t xml:space="preserve">DATA AND CODE AVAILABILITY</w:t>
      </w:r>
    </w:p>
    <w:p>
      <w:pPr>
        <w:pStyle w:val="FirstParagraph"/>
      </w:pPr>
      <w:r>
        <w:t xml:space="preserve">Code is available at github.com/RomanCohort/confluencia under MIT license.</w:t>
      </w:r>
    </w:p>
    <w:bookmarkEnd w:id="37"/>
    <w:bookmarkStart w:id="38" w:name="acknowledgments"/>
    <w:p>
      <w:pPr>
        <w:pStyle w:val="Heading2"/>
      </w:pPr>
      <w:r>
        <w:t xml:space="preserve">ACKNOWLEDGMENTS</w:t>
      </w:r>
    </w:p>
    <w:p>
      <w:pPr>
        <w:pStyle w:val="FirstParagraph"/>
      </w:pPr>
      <w:r>
        <w:t xml:space="preserve">This work was conducted as part of iGEM 2026 by the FBH (First Build High School) team for the development of circRNA-based TNBC vaccines.</w:t>
      </w:r>
    </w:p>
    <w:p>
      <w:pPr>
        <w:pStyle w:val="BodyText"/>
      </w:pPr>
      <w:r>
        <w:t xml:space="preserve">plainnat</w:t>
      </w:r>
    </w:p>
    <w:p>
      <w:r>
        <w:pict>
          <v:rect style="width:0;height:1.5pt" o:hralign="center" o:hrstd="t" o:hr="t"/>
        </w:pict>
      </w:r>
    </w:p>
    <w:bookmarkEnd w:id="38"/>
    <w:bookmarkStart w:id="39" w:name="acknowledgments-1"/>
    <w:p>
      <w:pPr>
        <w:pStyle w:val="Heading2"/>
      </w:pPr>
      <w:r>
        <w:t xml:space="preserve">Acknowledgments</w:t>
      </w:r>
    </w:p>
    <w:p>
      <w:pPr>
        <w:pStyle w:val="FirstParagraph"/>
      </w:pPr>
      <w:r>
        <w:rPr>
          <w:b/>
          <w:bCs/>
        </w:rPr>
        <w:t xml:space="preserve">Academic Guidance:</w:t>
      </w:r>
      <w:r>
        <w:t xml:space="preserve"> </w:t>
      </w:r>
      <w:r>
        <w:t xml:space="preserve">Jilin University provided academic guidance throughout this research.</w:t>
      </w:r>
    </w:p>
    <w:p>
      <w:pPr>
        <w:pStyle w:val="BodyText"/>
      </w:pPr>
      <w:r>
        <w:rPr>
          <w:b/>
          <w:bCs/>
        </w:rPr>
        <w:t xml:space="preserve">Supervisor:</w:t>
      </w:r>
      <w:r>
        <w:t xml:space="preserve"> </w:t>
      </w:r>
      <w:r>
        <w:t xml:space="preserve">Special thanks to my supervisor for guidance and mentorship.</w:t>
      </w:r>
    </w:p>
    <w:p>
      <w:pPr>
        <w:pStyle w:val="BodyText"/>
      </w:pPr>
      <w:r>
        <w:rPr>
          <w:b/>
          <w:bCs/>
        </w:rPr>
        <w:t xml:space="preserve">Computing:</w:t>
      </w:r>
      <w:r>
        <w:t xml:space="preserve"> </w:t>
      </w:r>
      <w:r>
        <w:t xml:space="preserve">Shandong Datong Dili Network Technology Co., Ltd. provided computing resources.</w:t>
      </w:r>
    </w:p>
    <w:p>
      <w:pPr>
        <w:pStyle w:val="BodyText"/>
      </w:pPr>
      <w:r>
        <w:rPr>
          <w:b/>
          <w:bCs/>
        </w:rPr>
        <w:t xml:space="preserve">Inspiration:</w:t>
      </w:r>
      <w:r>
        <w:t xml:space="preserve"> </w:t>
      </w:r>
      <w:r>
        <w:t xml:space="preserve">AlphaFold, IsRNAcirc, and AlphaFold3 inspired this work.</w:t>
      </w:r>
    </w:p>
    <w:p>
      <w:pPr>
        <w:pStyle w:val="BodyText"/>
      </w:pPr>
      <w:r>
        <w:rPr>
          <w:b/>
          <w:bCs/>
        </w:rPr>
        <w:t xml:space="preserve">Special Thanks:</w:t>
      </w:r>
      <w:r>
        <w:t xml:space="preserve"> </w:t>
      </w:r>
      <w:r>
        <w:t xml:space="preserve">Rixin Building </w:t>
      </w:r>
      <w:r>
        <w:rPr>
          <w:rFonts w:hint="eastAsia"/>
        </w:rPr>
        <w:t xml:space="preserve">(日新楼)</w:t>
      </w:r>
      <w:r>
        <w:t xml:space="preserve"> hamburgers fueled late nights of coding. 🍔</w:t>
      </w:r>
    </w:p>
    <w:p>
      <w:pPr>
        <w:pStyle w:val="BodyText"/>
      </w:pPr>
      <w:r>
        <w:rPr>
          <w:b/>
          <w:bCs/>
        </w:rPr>
        <w:t xml:space="preserve">Contributions:</w:t>
      </w:r>
      <w:r>
        <w:t xml:space="preserve"> </w:t>
      </w:r>
      <w:r>
        <w:t xml:space="preserve">Ziyi Yan designed the study, developed software, performed experiments, analyzed data, and wrote the manuscript.</w:t>
      </w:r>
    </w:p>
    <w:p>
      <w:pPr>
        <w:pStyle w:val="BodyText"/>
      </w:pPr>
      <w:r>
        <w:rPr>
          <w:b/>
          <w:bCs/>
        </w:rPr>
        <w:t xml:space="preserve">Conflict of Interest:</w:t>
      </w:r>
      <w:r>
        <w:t xml:space="preserve"> </w:t>
      </w:r>
      <w:r>
        <w:t xml:space="preserve">None declared.</w:t>
      </w:r>
    </w:p>
    <w:p>
      <w:pPr>
        <w:pStyle w:val="BodyText"/>
      </w:pPr>
      <w:r>
        <w:rPr>
          <w:b/>
          <w:bCs/>
        </w:rPr>
        <w:t xml:space="preserve">Data:</w:t>
      </w:r>
      <w:r>
        <w:t xml:space="preserve"> </w:t>
      </w:r>
      <w:r>
        <w:t xml:space="preserve">Available at https://github.com/RomanCohort/torusfold</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2026-06-27T08:10:05Z</dcterms:created>
  <dcterms:modified xsi:type="dcterms:W3CDTF">2026-06-27T08:10:05Z</dcterms:modified>
</cp:coreProperties>
</file>

<file path=docProps/custom.xml><?xml version="1.0" encoding="utf-8"?>
<Properties xmlns="http://schemas.openxmlformats.org/officeDocument/2006/custom-properties" xmlns:vt="http://schemas.openxmlformats.org/officeDocument/2006/docPropsVTypes"/>
</file>