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efc69e8ac689068ec503550528b5e91195054e"/>
    <w:p>
      <w:pPr>
        <w:pStyle w:val="Heading1"/>
      </w:pPr>
      <w:r>
        <w:t xml:space="preserve">TorusFold: Torus-Aware Deep Learning Architectures for Circular RNA 3D Structure Prediction</w:t>
      </w:r>
    </w:p>
    <w:p>
      <w:pPr>
        <w:pStyle w:val="FirstParagraph"/>
      </w:pPr>
      <w:r>
        <w:rPr>
          <w:b/>
          <w:bCs/>
        </w:rPr>
        <w:t xml:space="preserve">Ziyi Yan</w:t>
      </w:r>
    </w:p>
    <w:p>
      <w:pPr>
        <w:pStyle w:val="BodyText"/>
      </w:pPr>
      <w:r>
        <w:t xml:space="preserve">College of Computer Science and Technology, Jilin University, Changchun, China</w:t>
      </w:r>
    </w:p>
    <w:p>
      <w:pPr>
        <w:pStyle w:val="BodyText"/>
      </w:pPr>
      <w:r>
        <w:t xml:space="preserve">ORCID: 0009-0007-8127-8037</w:t>
      </w:r>
    </w:p>
    <w:p>
      <w:r>
        <w:pict>
          <v:rect style="width:0;height:1.5pt" o:hralign="center" o:hrstd="t" o:hr="t"/>
        </w:pic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w:t>
      </w:r>
      <w:r>
        <w:t xml:space="preserve">), physics solver with ViennaRNA constraints (Scheme 2, RMSD 25.47</w:t>
      </w:r>
      <w:r>
        <w:t xml:space="preserve">), and GNN latent diffusion (Scheme 6, RMSD 13.91</w:t>
      </w:r>
      <w:r>
        <w:t xml:space="preserve">, closure 0.02</w:t>
      </w:r>
      <w:r>
        <w:t xml:space="preserve">). Additional architectures are described in Methods and Supplementary Section S1. Scheme 5 failed catastrophically (RMSD 245</w:t>
      </w:r>
      <w:r>
        <w:t xml:space="preserve">) due to unbounded coordinate prediction, and Scheme 2’ (without pair constraints) degraded to 85.39</w:t>
      </w:r>
      <w:r>
        <w:t xml:space="preserve">.</w:t>
      </w:r>
    </w:p>
    <w:p>
      <w:pPr>
        <w:pStyle w:val="BodyText"/>
      </w:pPr>
      <w:r>
        <w:t xml:space="preserve">On our PDB-derived circularized test set (N=7 sequences, lengths 20-27 nt), Scheme 6 achieved RMSD 13.91</w:t>
      </w:r>
      <w:r>
        <w:t xml:space="preserve">with closure error 0.02</w:t>
      </w:r>
      <w:r>
        <w:t xml:space="preserve">, learning circular closure end-to-end without explicit constraints. Scheme 2 (physics solver with ViennaRNA pair constraints) achieved RMSD 25.47</w:t>
      </w:r>
      <w:r>
        <w:t xml:space="preserve">with closure 2.75</w:t>
      </w:r>
      <w:r>
        <w:t xml:space="preserve">. Scheme 2’ (without pair constraints) degraded to RMSD 85.39</w:t>
      </w:r>
      <w:r>
        <w:t xml:space="preserve">,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bookmarkStart w:id="9" w:name="introduction"/>
    <w:p>
      <w:pPr>
        <w:pStyle w:val="Heading2"/>
      </w:pPr>
      <w:r>
        <w:t xml:space="preserve">INTRODUCTION</w:t>
      </w:r>
    </w:p>
    <w:p>
      <w:pPr>
        <w:pStyle w:val="FirstParagraph"/>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bookmarkEnd w:id="9"/>
    <w:bookmarkStart w:id="34" w:name="results"/>
    <w:p>
      <w:pPr>
        <w:pStyle w:val="Heading2"/>
      </w:pPr>
      <w:r>
        <w:t xml:space="preserve">RESULTS</w:t>
      </w:r>
    </w:p>
    <w:p>
      <w:pPr>
        <w:pStyle w:val="FirstParagraph"/>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BodyText"/>
      </w:pPr>
      <m:oMathPara>
        <m:oMathParaPr>
          <m:jc m:val="center"/>
        </m:oMathParaPr>
        <m:oMath>
          <m:r>
            <m:t>P</m:t>
          </m:r>
          <m:r>
            <m:t>E</m:t>
          </m:r>
          <m:r>
            <m:rPr>
              <m:sty m:val="p"/>
            </m:rPr>
            <m:t>(</m:t>
          </m:r>
          <m:r>
            <m:t>i</m:t>
          </m:r>
          <m:r>
            <m:rPr>
              <m:sty m:val="p"/>
            </m:rPr>
            <m:t>,</m:t>
          </m:r>
          <m:r>
            <m:t>2</m:t>
          </m:r>
          <m:r>
            <m:t>h</m:t>
          </m:r>
          <m:r>
            <m:rPr>
              <m:sty m:val="p"/>
            </m:rPr>
            <m:t>)</m:t>
          </m:r>
          <m:r>
            <m:rPr>
              <m:sty m:val="p"/>
            </m:rPr>
            <m:t>=</m:t>
          </m:r>
          <m:r>
            <m:rPr>
              <m:sty m:val="p"/>
            </m:rPr>
            <m:t>sin</m:t>
          </m:r>
          <m:d>
            <m:dPr>
              <m:begChr m:val="("/>
              <m:sepChr m:val=""/>
              <m:endChr m:val=")"/>
              <m:grow/>
            </m:dPr>
            <m:e>
              <m:f>
                <m:fPr>
                  <m:type m:val="bar"/>
                </m:fPr>
                <m:num>
                  <m:r>
                    <m:t>i</m:t>
                  </m:r>
                </m:num>
                <m:den>
                  <m:sSup>
                    <m:e>
                      <m:r>
                        <m:t>10000</m:t>
                      </m:r>
                    </m:e>
                    <m:sup>
                      <m:r>
                        <m:t>2</m:t>
                      </m:r>
                      <m:r>
                        <m:t>h</m:t>
                      </m:r>
                      <m:r>
                        <m:rPr>
                          <m:sty m:val="p"/>
                        </m:rPr>
                        <m:t>/</m:t>
                      </m:r>
                      <m:r>
                        <m:t>d</m:t>
                      </m:r>
                    </m:sup>
                  </m:sSup>
                </m:den>
              </m:f>
            </m:e>
          </m:d>
        </m:oMath>
      </m:oMathPara>
    </w:p>
    <w:p>
      <w:pPr>
        <w:pStyle w:val="FirstParagraph"/>
      </w:pPr>
      <m:oMathPara>
        <m:oMathParaPr>
          <m:jc m:val="center"/>
        </m:oMathParaPr>
        <m:oMath>
          <m:r>
            <m:t>P</m:t>
          </m:r>
          <m:r>
            <m:t>E</m:t>
          </m:r>
          <m:r>
            <m:rPr>
              <m:sty m:val="p"/>
            </m:rPr>
            <m:t>(</m:t>
          </m:r>
          <m:r>
            <m:t>i</m:t>
          </m:r>
          <m:r>
            <m:rPr>
              <m:sty m:val="p"/>
            </m:rPr>
            <m:t>,</m:t>
          </m:r>
          <m:r>
            <m:t>2</m:t>
          </m:r>
          <m:r>
            <m:t>h</m:t>
          </m:r>
          <m:r>
            <m:rPr>
              <m:sty m:val="p"/>
            </m:rPr>
            <m:t>+</m:t>
          </m:r>
          <m:r>
            <m:t>1</m:t>
          </m:r>
          <m:r>
            <m:rPr>
              <m:sty m:val="p"/>
            </m:rPr>
            <m:t>)</m:t>
          </m:r>
          <m:r>
            <m:rPr>
              <m:sty m:val="p"/>
            </m:rPr>
            <m:t>=</m:t>
          </m:r>
          <m:r>
            <m:rPr>
              <m:sty m:val="p"/>
            </m:rPr>
            <m:t>cos</m:t>
          </m:r>
          <m:d>
            <m:dPr>
              <m:begChr m:val="("/>
              <m:sepChr m:val=""/>
              <m:endChr m:val=")"/>
              <m:grow/>
            </m:dPr>
            <m:e>
              <m:f>
                <m:fPr>
                  <m:type m:val="bar"/>
                </m:fPr>
                <m:num>
                  <m:r>
                    <m:t>i</m:t>
                  </m:r>
                </m:num>
                <m:den>
                  <m:sSup>
                    <m:e>
                      <m:r>
                        <m:t>10000</m:t>
                      </m:r>
                    </m:e>
                    <m:sup>
                      <m:r>
                        <m:t>2</m:t>
                      </m:r>
                      <m:r>
                        <m:t>h</m:t>
                      </m:r>
                      <m:r>
                        <m:rPr>
                          <m:sty m:val="p"/>
                        </m:rPr>
                        <m:t>/</m:t>
                      </m:r>
                      <m:r>
                        <m:t>d</m:t>
                      </m:r>
                    </m:sup>
                  </m:sSup>
                </m:den>
              </m:f>
            </m:e>
          </m:d>
        </m:oMath>
      </m:oMathPara>
    </w:p>
    <w:p>
      <w:pPr>
        <w:pStyle w:val="FirstParagraph"/>
      </w:pPr>
      <w:r>
        <w:t xml:space="preserve">This encoding has no periodicity guarantee: PE(0)</w:t>
      </w:r>
      <w:r>
        <w:t xml:space="preserve"> </w:t>
      </w:r>
      <w:r>
        <w:t xml:space="preserve">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BodyText"/>
      </w:pPr>
      <m:oMathPara>
        <m:oMathParaPr>
          <m:jc m:val="center"/>
        </m:oMathParaPr>
        <m:oMath>
          <m:r>
            <m:t>T</m:t>
          </m:r>
          <m:r>
            <m:t>P</m:t>
          </m:r>
          <m:r>
            <m:t>E</m:t>
          </m:r>
          <m:r>
            <m:rPr>
              <m:sty m:val="p"/>
            </m:rPr>
            <m:t>(</m:t>
          </m:r>
          <m:r>
            <m:t>i</m:t>
          </m:r>
          <m:r>
            <m:rPr>
              <m:sty m:val="p"/>
            </m:rPr>
            <m:t>,</m:t>
          </m:r>
          <m:r>
            <m:t>2</m:t>
          </m:r>
          <m:r>
            <m:t>h</m:t>
          </m:r>
          <m:r>
            <m:rPr>
              <m:sty m:val="p"/>
            </m:rPr>
            <m:t>)</m:t>
          </m:r>
          <m:r>
            <m:rPr>
              <m:sty m:val="p"/>
            </m:rPr>
            <m:t>=</m:t>
          </m:r>
          <m:r>
            <m:rPr>
              <m:sty m:val="p"/>
            </m:rPr>
            <m:t>sin</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m:oMathPara>
        <m:oMathParaPr>
          <m:jc m:val="center"/>
        </m:oMathParaPr>
        <m:oMath>
          <m:r>
            <m:t>T</m:t>
          </m:r>
          <m:r>
            <m:t>P</m:t>
          </m:r>
          <m:r>
            <m:t>E</m:t>
          </m:r>
          <m:r>
            <m:rPr>
              <m:sty m:val="p"/>
            </m:rPr>
            <m:t>(</m:t>
          </m:r>
          <m:r>
            <m:t>i</m:t>
          </m:r>
          <m:r>
            <m:rPr>
              <m:sty m:val="p"/>
            </m:rPr>
            <m:t>,</m:t>
          </m:r>
          <m:r>
            <m:t>2</m:t>
          </m:r>
          <m:r>
            <m:t>h</m:t>
          </m:r>
          <m:r>
            <m:rPr>
              <m:sty m:val="p"/>
            </m:rPr>
            <m:t>+</m:t>
          </m:r>
          <m:r>
            <m:t>1</m:t>
          </m:r>
          <m:r>
            <m:rPr>
              <m:sty m:val="p"/>
            </m:rPr>
            <m:t>)</m:t>
          </m:r>
          <m:r>
            <m:rPr>
              <m:sty m:val="p"/>
            </m:rPr>
            <m:t>=</m:t>
          </m:r>
          <m:r>
            <m:rPr>
              <m:sty m:val="p"/>
            </m:rPr>
            <m:t>cos</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PE periodicity" title="" id="11" name="Picture"/>
            <a:graphic>
              <a:graphicData uri="http://schemas.openxmlformats.org/drawingml/2006/picture">
                <pic:pic>
                  <pic:nvPicPr>
                    <pic:cNvPr descr="figures_png/fig1_tpe_periodicity.png" id="12" name="Picture"/>
                    <pic:cNvPicPr>
                      <a:picLocks noChangeArrowheads="1" noChangeAspect="1"/>
                    </pic:cNvPicPr>
                  </pic:nvPicPr>
                  <pic:blipFill>
                    <a:blip r:embed="rId10"/>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TPE periodicity</w:t>
      </w:r>
    </w:p>
    <w:p>
      <w:pPr>
        <w:pStyle w:val="BodyText"/>
      </w:pPr>
      <w:r>
        <w:t xml:space="preserve">Torus Positional Encoding preserves circular periodicity. (A) Standard positional encoding (left) vs. TPE (right) for a sequence of length L=100. Standard PE has PE(0)</w:t>
      </w:r>
      <w:r>
        <w:t xml:space="preserve"> </w:t>
      </w:r>
      <w:r>
        <w:t xml:space="preserve">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tbl>
      <w:tblPr>
        <w:tblStyle w:val="Table"/>
        <w:tblW w:type="pct" w:w="5000"/>
        <w:tblLayout w:type="fixed"/>
        <w:tblLook w:firstRow="1" w:lastRow="0" w:firstColumn="0" w:lastColumn="0" w:noHBand="0" w:noVBand="0" w:val="0020"/>
      </w:tblPr>
      <w:tblGrid>
        <w:gridCol w:w="974"/>
        <w:gridCol w:w="1584"/>
        <w:gridCol w:w="1462"/>
        <w:gridCol w:w="1218"/>
        <w:gridCol w:w="1584"/>
        <w:gridCol w:w="1096"/>
      </w:tblGrid>
      <w:tr>
        <w:trPr>
          <w:tblHeader w:val="on"/>
        </w:trPr>
        <w:tc>
          <w:tcPr/>
          <w:p>
            <w:pPr>
              <w:pStyle w:val="Compact"/>
            </w:pPr>
            <w:r>
              <w:t xml:space="preserve">Scheme</w:t>
            </w:r>
          </w:p>
        </w:tc>
        <w:tc>
          <w:tcPr/>
          <w:p>
            <w:pPr>
              <w:pStyle w:val="Compact"/>
            </w:pPr>
            <w:r>
              <w:t xml:space="preserve">Architecture</w:t>
            </w:r>
          </w:p>
        </w:tc>
        <w:tc>
          <w:tcPr/>
          <w:p>
            <w:pPr>
              <w:pStyle w:val="Compact"/>
            </w:pPr>
            <w:r>
              <w:t xml:space="preserve">Complexity</w:t>
            </w:r>
          </w:p>
        </w:tc>
        <w:tc>
          <w:tcPr/>
          <w:p>
            <w:pPr>
              <w:pStyle w:val="Compact"/>
            </w:pPr>
            <w:r>
              <w:t xml:space="preserve">RMSD (</w:t>
            </w:r>
            <w:r>
              <w:t xml:space="preserve">)</w:t>
            </w:r>
          </w:p>
        </w:tc>
        <w:tc>
          <w:tcPr/>
          <w:p>
            <w:pPr>
              <w:pStyle w:val="Compact"/>
            </w:pPr>
            <w:r>
              <w:t xml:space="preserve">Closure (</w:t>
            </w:r>
            <w:r>
              <w:t xml:space="preserve">)</w:t>
            </w:r>
          </w:p>
        </w:tc>
        <w:tc>
          <w:tcPr/>
          <w:p>
            <w:pPr>
              <w:pStyle w:val="Compact"/>
            </w:pPr>
            <w:r>
              <w:t xml:space="preserve">Status</w:t>
            </w:r>
          </w:p>
        </w:tc>
      </w:tr>
      <w:tr>
        <w:tc>
          <w:tcPr/>
          <w:p>
            <w:pPr>
              <w:pStyle w:val="Compact"/>
            </w:pPr>
            <w:r>
              <w:t xml:space="preserve">1</w:t>
            </w:r>
          </w:p>
        </w:tc>
        <w:tc>
          <w:tcPr/>
          <w:p>
            <w:pPr>
              <w:pStyle w:val="Compact"/>
            </w:pPr>
            <w:r>
              <w:t xml:space="preserve">EGNN + Physics</w:t>
            </w:r>
          </w:p>
        </w:tc>
        <w:tc>
          <w:tcPr/>
          <w:p>
            <w:pPr>
              <w:pStyle w:val="Compact"/>
            </w:pPr>
            <w:r>
              <w:t xml:space="preserve">O(L^2)</w:t>
            </w:r>
          </w:p>
        </w:tc>
        <w:tc>
          <w:tcPr/>
          <w:p>
            <w:pPr>
              <w:pStyle w:val="Compact"/>
            </w:pPr>
            <w:r>
              <w:t xml:space="preserve">13.85</w:t>
            </w:r>
          </w:p>
        </w:tc>
        <w:tc>
          <w:tcPr/>
          <w:p>
            <w:pPr>
              <w:pStyle w:val="Compact"/>
            </w:pPr>
            <w:r>
              <w:t xml:space="preserve">5.36</w:t>
            </w:r>
          </w:p>
        </w:tc>
        <w:tc>
          <w:tcPr/>
          <w:p>
            <w:pPr>
              <w:pStyle w:val="Compact"/>
            </w:pPr>
            <w:r>
              <w:t xml:space="preserve">Trained</w:t>
            </w:r>
          </w:p>
        </w:tc>
      </w:tr>
      <w:tr>
        <w:tc>
          <w:tcPr/>
          <w:p>
            <w:pPr>
              <w:pStyle w:val="Compact"/>
            </w:pPr>
            <w:r>
              <w:t xml:space="preserve">2</w:t>
            </w:r>
          </w:p>
        </w:tc>
        <w:tc>
          <w:tcPr/>
          <w:p>
            <w:pPr>
              <w:pStyle w:val="Compact"/>
            </w:pPr>
            <w:r>
              <w:t xml:space="preserve">Physics Solver</w:t>
            </w:r>
          </w:p>
        </w:tc>
        <w:tc>
          <w:tcPr/>
          <w:p>
            <w:pPr>
              <w:pStyle w:val="Compact"/>
            </w:pPr>
            <w:r>
              <w:t xml:space="preserve">O(L)</w:t>
            </w:r>
          </w:p>
        </w:tc>
        <w:tc>
          <w:tcPr/>
          <w:p>
            <w:pPr>
              <w:pStyle w:val="Compact"/>
            </w:pPr>
            <w:r>
              <w:t xml:space="preserve">25.47</w:t>
            </w:r>
          </w:p>
        </w:tc>
        <w:tc>
          <w:tcPr/>
          <w:p>
            <w:pPr>
              <w:pStyle w:val="Compact"/>
            </w:pPr>
            <w:r>
              <w:t xml:space="preserve">2.75</w:t>
            </w:r>
          </w:p>
        </w:tc>
        <w:tc>
          <w:tcPr/>
          <w:p>
            <w:pPr>
              <w:pStyle w:val="Compact"/>
            </w:pPr>
            <w:r>
              <w:t xml:space="preserve">Ready</w:t>
            </w:r>
          </w:p>
        </w:tc>
      </w:tr>
      <w:tr>
        <w:tc>
          <w:tcPr/>
          <w:p>
            <w:pPr>
              <w:pStyle w:val="Compact"/>
            </w:pPr>
            <w:r>
              <w:t xml:space="preserve">2’</w:t>
            </w:r>
          </w:p>
        </w:tc>
        <w:tc>
          <w:tcPr/>
          <w:p>
            <w:pPr>
              <w:pStyle w:val="Compact"/>
            </w:pPr>
            <w:r>
              <w:t xml:space="preserve">Physics (no pairs)</w:t>
            </w:r>
          </w:p>
        </w:tc>
        <w:tc>
          <w:tcPr/>
          <w:p>
            <w:pPr>
              <w:pStyle w:val="Compact"/>
            </w:pPr>
            <w:r>
              <w:t xml:space="preserve">O(L)</w:t>
            </w:r>
          </w:p>
        </w:tc>
        <w:tc>
          <w:tcPr/>
          <w:p>
            <w:pPr>
              <w:pStyle w:val="Compact"/>
            </w:pPr>
            <w:r>
              <w:t xml:space="preserve">85.39</w:t>
            </w:r>
          </w:p>
        </w:tc>
        <w:tc>
          <w:tcPr/>
          <w:p>
            <w:pPr>
              <w:pStyle w:val="Compact"/>
            </w:pPr>
            <w:r>
              <w:t xml:space="preserve">0.10</w:t>
            </w:r>
          </w:p>
        </w:tc>
        <w:tc>
          <w:tcPr/>
          <w:p>
            <w:pPr>
              <w:pStyle w:val="Compact"/>
            </w:pPr>
            <w:r>
              <w:t xml:space="preserve">Baseline</w:t>
            </w:r>
          </w:p>
        </w:tc>
      </w:tr>
      <w:tr>
        <w:tc>
          <w:tcPr/>
          <w:p>
            <w:pPr>
              <w:pStyle w:val="Compact"/>
            </w:pPr>
            <w:r>
              <w:t xml:space="preserve">3</w:t>
            </w:r>
          </w:p>
        </w:tc>
        <w:tc>
          <w:tcPr/>
          <w:p>
            <w:pPr>
              <w:pStyle w:val="Compact"/>
            </w:pPr>
            <w:r>
              <w:t xml:space="preserve">Dual-Engine</w:t>
            </w:r>
          </w:p>
        </w:tc>
        <w:tc>
          <w:tcPr/>
          <w:p>
            <w:pPr>
              <w:pStyle w:val="Compact"/>
            </w:pPr>
            <w:r>
              <w:t xml:space="preserve">O(L^2)</w:t>
            </w:r>
          </w:p>
        </w:tc>
        <w:tc>
          <w:tcPr/>
          <w:p>
            <w:pPr>
              <w:pStyle w:val="Compact"/>
            </w:pPr>
            <w:r>
              <w:t xml:space="preserve">—</w:t>
            </w:r>
          </w:p>
        </w:tc>
        <w:tc>
          <w:tcPr/>
          <w:p>
            <w:pPr>
              <w:pStyle w:val="Compact"/>
            </w:pPr>
            <w:r>
              <w:t xml:space="preserve">—</w:t>
            </w:r>
          </w:p>
        </w:tc>
        <w:tc>
          <w:tcPr/>
          <w:p>
            <w:pPr>
              <w:pStyle w:val="Compact"/>
            </w:pPr>
            <w:r>
              <w:t xml:space="preserve">Deferred</w:t>
            </w:r>
          </w:p>
        </w:tc>
      </w:tr>
      <w:tr>
        <w:tc>
          <w:tcPr/>
          <w:p>
            <w:pPr>
              <w:pStyle w:val="Compact"/>
            </w:pPr>
            <w:r>
              <w:t xml:space="preserve">4</w:t>
            </w:r>
          </w:p>
        </w:tc>
        <w:tc>
          <w:tcPr/>
          <w:p>
            <w:pPr>
              <w:pStyle w:val="Compact"/>
            </w:pPr>
            <w:r>
              <w:t xml:space="preserve">DDPM + EGNN</w:t>
            </w:r>
          </w:p>
        </w:tc>
        <w:tc>
          <w:tcPr/>
          <w:p>
            <w:pPr>
              <w:pStyle w:val="Compact"/>
            </w:pPr>
            <w:r>
              <w:t xml:space="preserve">O(L^2</w:t>
            </w:r>
            <w:r>
              <w:t xml:space="preserve"> </w:t>
            </w:r>
            <w:r>
              <w:t xml:space="preserve">T)</w:t>
            </w:r>
          </w:p>
        </w:tc>
        <w:tc>
          <w:tcPr/>
          <w:p>
            <w:pPr>
              <w:pStyle w:val="Compact"/>
            </w:pPr>
            <w:r>
              <w:t xml:space="preserve">—</w:t>
            </w:r>
          </w:p>
        </w:tc>
        <w:tc>
          <w:tcPr/>
          <w:p>
            <w:pPr>
              <w:pStyle w:val="Compact"/>
            </w:pPr>
            <w:r>
              <w:t xml:space="preserve">—</w:t>
            </w:r>
          </w:p>
        </w:tc>
        <w:tc>
          <w:tcPr/>
          <w:p>
            <w:pPr>
              <w:pStyle w:val="Compact"/>
            </w:pPr>
            <w:r>
              <w:t xml:space="preserve">Training†</w:t>
            </w:r>
          </w:p>
        </w:tc>
      </w:tr>
      <w:tr>
        <w:tc>
          <w:tcPr/>
          <w:p>
            <w:pPr>
              <w:pStyle w:val="Compact"/>
            </w:pPr>
            <w:r>
              <w:t xml:space="preserve">5</w:t>
            </w:r>
          </w:p>
        </w:tc>
        <w:tc>
          <w:tcPr/>
          <w:p>
            <w:pPr>
              <w:pStyle w:val="Compact"/>
            </w:pPr>
            <w:r>
              <w:t xml:space="preserve">Transformer+PE</w:t>
            </w:r>
          </w:p>
        </w:tc>
        <w:tc>
          <w:tcPr/>
          <w:p>
            <w:pPr>
              <w:pStyle w:val="Compact"/>
            </w:pPr>
            <w:r>
              <w:t xml:space="preserve">O(L^2)</w:t>
            </w:r>
          </w:p>
        </w:tc>
        <w:tc>
          <w:tcPr/>
          <w:p>
            <w:pPr>
              <w:pStyle w:val="Compact"/>
            </w:pPr>
            <w:r>
              <w:t xml:space="preserve">245</w:t>
            </w:r>
          </w:p>
        </w:tc>
        <w:tc>
          <w:tcPr/>
          <w:p>
            <w:pPr>
              <w:pStyle w:val="Compact"/>
            </w:pPr>
            <w:r>
              <w:t xml:space="preserve">—</w:t>
            </w:r>
          </w:p>
        </w:tc>
        <w:tc>
          <w:tcPr/>
          <w:p>
            <w:pPr>
              <w:pStyle w:val="Compact"/>
            </w:pPr>
            <w:r>
              <w:t xml:space="preserve">Failed</w:t>
            </w:r>
          </w:p>
        </w:tc>
      </w:tr>
      <w:tr>
        <w:tc>
          <w:tcPr/>
          <w:p>
            <w:pPr>
              <w:pStyle w:val="Compact"/>
            </w:pPr>
            <w:r>
              <w:t xml:space="preserve">5’</w:t>
            </w:r>
          </w:p>
        </w:tc>
        <w:tc>
          <w:tcPr/>
          <w:p>
            <w:pPr>
              <w:pStyle w:val="Compact"/>
            </w:pPr>
            <w:r>
              <w:t xml:space="preserve">Delta + Planar</w:t>
            </w:r>
          </w:p>
        </w:tc>
        <w:tc>
          <w:tcPr/>
          <w:p>
            <w:pPr>
              <w:pStyle w:val="Compact"/>
            </w:pPr>
            <w:r>
              <w:t xml:space="preserve">O(L^2)</w:t>
            </w:r>
          </w:p>
        </w:tc>
        <w:tc>
          <w:tcPr/>
          <w:p>
            <w:pPr>
              <w:pStyle w:val="Compact"/>
            </w:pPr>
            <w:r>
              <w:t xml:space="preserve">—</w:t>
            </w:r>
          </w:p>
        </w:tc>
        <w:tc>
          <w:tcPr/>
          <w:p>
            <w:pPr>
              <w:pStyle w:val="Compact"/>
            </w:pPr>
            <w:r>
              <w:t xml:space="preserve">—</w:t>
            </w:r>
          </w:p>
        </w:tc>
        <w:tc>
          <w:tcPr/>
          <w:p>
            <w:pPr>
              <w:pStyle w:val="Compact"/>
            </w:pPr>
            <w:r>
              <w:t xml:space="preserve">Abandoned</w:t>
            </w:r>
          </w:p>
        </w:tc>
      </w:tr>
      <w:tr>
        <w:tc>
          <w:tcPr/>
          <w:p>
            <w:pPr>
              <w:pStyle w:val="Compact"/>
            </w:pPr>
            <w:r>
              <w:t xml:space="preserve">6</w:t>
            </w:r>
          </w:p>
        </w:tc>
        <w:tc>
          <w:tcPr/>
          <w:p>
            <w:pPr>
              <w:pStyle w:val="Compact"/>
            </w:pPr>
            <w:r>
              <w:t xml:space="preserve">GNN Latent Diff</w:t>
            </w:r>
          </w:p>
        </w:tc>
        <w:tc>
          <w:tcPr/>
          <w:p>
            <w:pPr>
              <w:pStyle w:val="Compact"/>
            </w:pPr>
            <w:r>
              <w:t xml:space="preserve">O(L^2</w:t>
            </w:r>
            <w:r>
              <w:t xml:space="preserve"> </w:t>
            </w:r>
            <w:r>
              <w:t xml:space="preserve">T)</w:t>
            </w:r>
          </w:p>
        </w:tc>
        <w:tc>
          <w:tcPr/>
          <w:p>
            <w:pPr>
              <w:pStyle w:val="Compact"/>
            </w:pPr>
            <w:r>
              <w:t xml:space="preserve">13.91</w:t>
            </w:r>
          </w:p>
        </w:tc>
        <w:tc>
          <w:tcPr/>
          <w:p>
            <w:pPr>
              <w:pStyle w:val="Compact"/>
            </w:pPr>
            <w:r>
              <w:t xml:space="preserve">0.02</w:t>
            </w:r>
          </w:p>
        </w:tc>
        <w:tc>
          <w:tcPr/>
          <w:p>
            <w:pPr>
              <w:pStyle w:val="Compact"/>
            </w:pPr>
            <w:r>
              <w:t xml:space="preserve">Trained</w:t>
            </w:r>
          </w:p>
        </w:tc>
      </w:tr>
      <w:tr>
        <w:tc>
          <w:tcPr/>
          <w:p>
            <w:pPr>
              <w:pStyle w:val="Compact"/>
            </w:pPr>
            <w:r>
              <w:t xml:space="preserve">7</w:t>
            </w:r>
          </w:p>
        </w:tc>
        <w:tc>
          <w:tcPr/>
          <w:p>
            <w:pPr>
              <w:pStyle w:val="Compact"/>
            </w:pPr>
            <w:r>
              <w:t xml:space="preserve">Mamba+Attn</w:t>
            </w:r>
          </w:p>
        </w:tc>
        <w:tc>
          <w:tcPr/>
          <w:p>
            <w:pPr>
              <w:pStyle w:val="Compact"/>
            </w:pPr>
            <w:r>
              <w:t xml:space="preserve">O(L)</w:t>
            </w:r>
          </w:p>
        </w:tc>
        <w:tc>
          <w:tcPr/>
          <w:p>
            <w:pPr>
              <w:pStyle w:val="Compact"/>
            </w:pPr>
            <w:r>
              <w:t xml:space="preserve">—</w:t>
            </w:r>
          </w:p>
        </w:tc>
        <w:tc>
          <w:tcPr/>
          <w:p>
            <w:pPr>
              <w:pStyle w:val="Compact"/>
            </w:pPr>
            <w:r>
              <w:t xml:space="preserve">—</w:t>
            </w:r>
          </w:p>
        </w:tc>
        <w:tc>
          <w:tcPr/>
          <w:p>
            <w:pPr>
              <w:pStyle w:val="Compact"/>
            </w:pPr>
            <w:r>
              <w:t xml:space="preserve">Training†</w:t>
            </w:r>
          </w:p>
        </w:tc>
      </w:tr>
      <w:tr>
        <w:tc>
          <w:tcPr/>
          <w:p>
            <w:pPr>
              <w:pStyle w:val="Compact"/>
            </w:pPr>
            <w:r>
              <w:t xml:space="preserve">8</w:t>
            </w:r>
          </w:p>
        </w:tc>
        <w:tc>
          <w:tcPr/>
          <w:p>
            <w:pPr>
              <w:pStyle w:val="Compact"/>
            </w:pPr>
            <w:r>
              <w:t xml:space="preserve">Sparse Pair Hybrid</w:t>
            </w:r>
          </w:p>
        </w:tc>
        <w:tc>
          <w:tcPr/>
          <w:p>
            <w:pPr>
              <w:pStyle w:val="Compact"/>
            </w:pPr>
            <w:r>
              <w:t xml:space="preserve">O(L · K)*</w:t>
            </w:r>
          </w:p>
        </w:tc>
        <w:tc>
          <w:tcPr/>
          <w:p>
            <w:pPr>
              <w:pStyle w:val="Compact"/>
            </w:pPr>
            <w:r>
              <w:t xml:space="preserve">—</w:t>
            </w:r>
          </w:p>
        </w:tc>
        <w:tc>
          <w:tcPr/>
          <w:p>
            <w:pPr>
              <w:pStyle w:val="Compact"/>
            </w:pPr>
            <w:r>
              <w:t xml:space="preserve">—</w:t>
            </w:r>
          </w:p>
        </w:tc>
        <w:tc>
          <w:tcPr/>
          <w:p>
            <w:pPr>
              <w:pStyle w:val="Compact"/>
            </w:pPr>
            <w:r>
              <w:t xml:space="preserve">Training†</w:t>
            </w:r>
          </w:p>
        </w:tc>
      </w:tr>
      <w:tr>
        <w:tc>
          <w:tcPr/>
          <w:p>
            <w:pPr>
              <w:pStyle w:val="Compact"/>
            </w:pPr>
            <w:r>
              <w:t xml:space="preserve">—</w:t>
            </w:r>
          </w:p>
        </w:tc>
        <w:tc>
          <w:tcPr/>
          <w:p>
            <w:pPr>
              <w:pStyle w:val="Compact"/>
            </w:pPr>
            <w:r>
              <w:t xml:space="preserve">Random baseline</w:t>
            </w:r>
          </w:p>
        </w:tc>
        <w:tc>
          <w:tcPr/>
          <w:p>
            <w:pPr>
              <w:pStyle w:val="Compact"/>
            </w:pPr>
            <w:r>
              <w:t xml:space="preserve">—</w:t>
            </w:r>
          </w:p>
        </w:tc>
        <w:tc>
          <w:tcPr/>
          <w:p>
            <w:pPr>
              <w:pStyle w:val="Compact"/>
            </w:pPr>
            <w:r>
              <w:t xml:space="preserve">60</w:t>
            </w:r>
          </w:p>
        </w:tc>
        <w:tc>
          <w:tcPr/>
          <w:p>
            <w:pPr>
              <w:pStyle w:val="Compact"/>
            </w:pPr>
            <w:r>
              <w:t xml:space="preserve">—</w:t>
            </w:r>
          </w:p>
        </w:tc>
        <w:tc>
          <w:tcPr/>
          <w:p>
            <w:pPr>
              <w:pStyle w:val="Compact"/>
            </w:pPr>
            <w:r>
              <w:t xml:space="preserve">—</w:t>
            </w:r>
          </w:p>
        </w:tc>
      </w:tr>
    </w:tbl>
    <w:p>
      <w:pPr>
        <w:pStyle w:val="BodyText"/>
      </w:pPr>
      <w:r>
        <w:t xml:space="preserve">†Training in progress; preliminary architectures described in Methods Section 3.2.</w:t>
      </w:r>
    </w:p>
    <w:p>
      <w:pPr>
        <w:pStyle w:val="BodyText"/>
      </w:pP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w:t>
      </w:r>
      <w:r>
        <w:t xml:space="preserve">(median 23.35</w:t>
      </w:r>
      <w:r>
        <w:t xml:space="preserve">) with closure 2.75</w:t>
      </w:r>
      <w:r>
        <w:t xml:space="preserve">. O(L) complexity. Without pair constraints (Scheme 2’), RMSD degrades to 85.39</w:t>
      </w:r>
      <w:r>
        <w:t xml:space="preserve">,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w:t>
      </w:r>
      <w:r>
        <w:t xml:space="preserve"> </w:t>
      </w:r>
      <w:r>
        <w:t xml:space="preserve">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w:t>
      </w:r>
      <w:r>
        <w:t xml:space="preserve"> </w:t>
      </w:r>
      <w:r>
        <w:t xml:space="preserve">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w:t>
      </w:r>
      <w:r>
        <w:t xml:space="preserve">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w:t>
      </w:r>
      <w:r>
        <w:t xml:space="preserve">).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w:t>
      </w:r>
      <w:r>
        <w:t xml:space="preserve"> </w:t>
      </w:r>
      <w:r>
        <w:t xml:space="preserve">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w:t>
      </w:r>
      <w:r>
        <w:t xml:space="preserve"> </w:t>
      </w:r>
      <w:r>
        <w:t xml:space="preserve">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w:t>
      </w:r>
      <w:r>
        <w:t xml:space="preserve"> </w:t>
      </w:r>
      <w:r>
        <w:t xml:space="preserve">_j</w:t>
      </w:r>
      <w:r>
        <w:t xml:space="preserve"> </w:t>
      </w:r>
      <w:r>
        <w:t xml:space="preserve">(i)</w:t>
      </w:r>
      <w:r>
        <w:t xml:space="preserve">(h_i^(l), h_j^(l), e_ij) where e_ij includes bond, pair, and stacking edge features. Outputs latent z</w:t>
      </w:r>
      <w:r>
        <w:t xml:space="preserve"> </w:t>
      </w:r>
      <w:r>
        <w:t xml:space="preserve">^L</w:t>
      </w:r>
      <w:r>
        <w:t xml:space="preserve"> </w:t>
      </w:r>
      <w:r>
        <w:t xml:space="preserve">.</w:t>
      </w:r>
    </w:p>
    <w:p>
      <w:pPr>
        <w:numPr>
          <w:ilvl w:val="0"/>
          <w:numId w:val="1003"/>
        </w:numPr>
      </w:pPr>
      <w:r>
        <w:t xml:space="preserve">Latent Diffusion: 50-step DDPM with cosine noise schedule (</w:t>
      </w:r>
      <w:r>
        <w:t xml:space="preserve">_start=10^-4,</w:t>
      </w:r>
      <w:r>
        <w:t xml:space="preserve"> </w:t>
      </w:r>
      <w:r>
        <w:t xml:space="preserve">_end=0.02). Forward: z_t =</w:t>
      </w:r>
      <w:r>
        <w:t xml:space="preserve"> </w:t>
      </w:r>
      <w:r>
        <w:t xml:space="preserve">(</w:t>
      </w:r>
      <w:r>
        <w:t xml:space="preserve">̅_t) z_0 +</w:t>
      </w:r>
      <w:r>
        <w:t xml:space="preserve"> </w:t>
      </w:r>
      <w:r>
        <w:t xml:space="preserve">(1-</w:t>
      </w:r>
      <w:r>
        <w:t xml:space="preserve">̅_t)ϵ. Reverse denoising uses 4-layer GNN with edge conditioning.</w:t>
      </w:r>
    </w:p>
    <w:p>
      <w:pPr>
        <w:numPr>
          <w:ilvl w:val="0"/>
          <w:numId w:val="1003"/>
        </w:numPr>
      </w:pPr>
      <w:r>
        <w:t xml:space="preserve">GNN Decoder: Reconstructs 3D coordinates from denoised latent. Coordinate prediction: x_i =</w:t>
      </w:r>
      <w:r>
        <w:t xml:space="preserve"> </w:t>
      </w:r>
      <w:r>
        <w:t xml:space="preserve">(h_i^final) where</w:t>
      </w:r>
      <w:r>
        <w:t xml:space="preserve"> </w:t>
      </w:r>
      <w:r>
        <w:t xml:space="preserve">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w:t>
      </w:r>
      <w:r>
        <w:t xml:space="preserve">, Median 14.08</w:t>
      </w:r>
      <w:r>
        <w:t xml:space="preserve">, Std 0.73</w:t>
      </w:r>
    </w:p>
    <w:p>
      <w:pPr>
        <w:numPr>
          <w:ilvl w:val="0"/>
          <w:numId w:val="1004"/>
        </w:numPr>
      </w:pPr>
      <w:r>
        <w:t xml:space="preserve">Closure Error: 0.02</w:t>
      </w:r>
      <w:r>
        <w:t xml:space="preserve">(vs. 5.9</w:t>
      </w:r>
      <w:r>
        <w:t xml:space="preserve">bond length)</w:t>
      </w:r>
    </w:p>
    <w:p>
      <w:pPr>
        <w:numPr>
          <w:ilvl w:val="0"/>
          <w:numId w:val="1004"/>
        </w:numPr>
      </w:pPr>
      <w:r>
        <w:t xml:space="preserve">All samples &lt; 20</w:t>
      </w:r>
      <w:r>
        <w:t xml:space="preserve">RMSD: 100%</w:t>
      </w:r>
    </w:p>
    <w:p>
      <w:pPr>
        <w:pStyle w:val="FirstParagraph"/>
      </w:pPr>
      <w:r>
        <w:t xml:space="preserve">Critically, the closure constraint was learned end-to-end without explicit penalty during training. The diffusion model implicitly learned that valid circRNA structures have closure</w:t>
      </w:r>
      <w:r>
        <w:t xml:space="preserve"> </w:t>
      </w:r>
      <w:r>
        <w:t xml:space="preserve">5.9</w:t>
      </w:r>
      <w:r>
        <w:t xml:space="preserve">,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w:t>
      </w:r>
      <w:r>
        <w:t xml:space="preserve">(vs.0.02 ±0.01</w:t>
      </w:r>
      <w:r>
        <w:t xml:space="preserve">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Architectures" title="" id="14" name="Picture"/>
            <a:graphic>
              <a:graphicData uri="http://schemas.openxmlformats.org/drawingml/2006/picture">
                <pic:pic>
                  <pic:nvPicPr>
                    <pic:cNvPr descr="figures_png/fig2_architecture_comparison.png" id="15" name="Picture"/>
                    <pic:cNvPicPr>
                      <a:picLocks noChangeArrowheads="1" noChangeAspect="1"/>
                    </pic:cNvPicPr>
                  </pic:nvPicPr>
                  <pic:blipFill>
                    <a:blip r:embed="rId13"/>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Architectures</w:t>
      </w:r>
    </w:p>
    <w:p>
      <w:pPr>
        <w:pStyle w:val="BodyText"/>
      </w:pPr>
      <w:r>
        <w:t xml:space="preserve">Seven architectures comparison. (A) RMSD comparison across schemes (bar chart with bootstrap confidence intervals). Scheme 6 (GNN latent diffusion) achieves 13.91</w:t>
      </w:r>
      <w:r>
        <w:t xml:space="preserve">RMSD. (B) Closure error comparison: Scheme 6 achieves 0.02</w:t>
      </w:r>
      <w:r>
        <w:t xml:space="preserve">, Scheme 1 has 5.36</w:t>
      </w:r>
      <w:r>
        <w:t xml:space="preserve">, Scheme 2 guarantees &lt;0.1</w:t>
      </w:r>
      <w:r>
        <w:t xml:space="preserve">. (C) Per-sample RMSD scatter plot. (D) Complexity vs. accuracy trade-off: Scheme 7 offers O(L) scaling for long sequences.</w:t>
      </w:r>
    </w:p>
    <w:p>
      <w:pPr>
        <w:pStyle w:val="CaptionedFigure"/>
      </w:pPr>
      <w:r>
        <w:drawing>
          <wp:inline>
            <wp:extent cx="5334000" cy="1386733"/>
            <wp:effectExtent b="0" l="0" r="0" t="0"/>
            <wp:docPr descr="Scheme 6" title="" id="17" name="Picture"/>
            <a:graphic>
              <a:graphicData uri="http://schemas.openxmlformats.org/drawingml/2006/picture">
                <pic:pic>
                  <pic:nvPicPr>
                    <pic:cNvPr descr="figures_png/fig3_scheme6_architecture.png" id="18" name="Picture"/>
                    <pic:cNvPicPr>
                      <a:picLocks noChangeArrowheads="1" noChangeAspect="1"/>
                    </pic:cNvPicPr>
                  </pic:nvPicPr>
                  <pic:blipFill>
                    <a:blip r:embed="rId16"/>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Baselines" title="" id="20" name="Picture"/>
            <a:graphic>
              <a:graphicData uri="http://schemas.openxmlformats.org/drawingml/2006/picture">
                <pic:pic>
                  <pic:nvPicPr>
                    <pic:cNvPr descr="figures_png/fig4_external_baselines.png" id="21" name="Picture"/>
                    <pic:cNvPicPr>
                      <a:picLocks noChangeArrowheads="1" noChangeAspect="1"/>
                    </pic:cNvPicPr>
                  </pic:nvPicPr>
                  <pic:blipFill>
                    <a:blip r:embed="rId19"/>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Baselines</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Ablation" title="" id="23" name="Picture"/>
            <a:graphic>
              <a:graphicData uri="http://schemas.openxmlformats.org/drawingml/2006/picture">
                <pic:pic>
                  <pic:nvPicPr>
                    <pic:cNvPr descr="figures_png/fig5_tpe_ablation.png" id="24" name="Picture"/>
                    <pic:cNvPicPr>
                      <a:picLocks noChangeArrowheads="1" noChangeAspect="1"/>
                    </pic:cNvPicPr>
                  </pic:nvPicPr>
                  <pic:blipFill>
                    <a:blip r:embed="rId22"/>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w:t>
      </w:r>
      <w:r>
        <w:t xml:space="preserve">,000, confidence</w:t>
      </w:r>
      <w:r>
        <w:t xml:space="preserve">0.5), all schemes achieved RMSD</w:t>
      </w:r>
      <w:r>
        <w:t xml:space="preserve">25</w:t>
      </w:r>
      <w:r>
        <w:t xml:space="preserve">on validation. When evaluated on the high-confidence PDB circularized set (N=7, confidence</w:t>
      </w:r>
      <w:r>
        <w:t xml:space="preserve">0.95), RMSD improved to</w:t>
      </w:r>
      <w:r>
        <w:t xml:space="preserve">14</w:t>
      </w:r>
      <w:r>
        <w:t xml:space="preserve">for Schemes 1 and 6.</w:t>
      </w:r>
    </w:p>
    <w:p>
      <w:pPr>
        <w:pStyle w:val="BodyText"/>
      </w:pPr>
      <w:r>
        <w:t xml:space="preserve">This 11</w:t>
      </w:r>
      <w:r>
        <w:t xml:space="preserve">improvement from data quality alone suggests that current methods have not reached their architectural ceiling, they are limited by training data. We estimate that with 50-100 high-quality experimental circRNA structures, RMSD could potentially reach &lt;10</w:t>
      </w:r>
      <w:r>
        <w:t xml:space="preserve">.</w:t>
      </w:r>
    </w:p>
    <w:p>
      <w:pPr>
        <w:pStyle w:val="CaptionedFigure"/>
      </w:pPr>
      <w:r>
        <w:drawing>
          <wp:inline>
            <wp:extent cx="5334000" cy="4424412"/>
            <wp:effectExtent b="0" l="0" r="0" t="0"/>
            <wp:docPr descr="Data" title="" id="26" name="Picture"/>
            <a:graphic>
              <a:graphicData uri="http://schemas.openxmlformats.org/drawingml/2006/picture">
                <pic:pic>
                  <pic:nvPicPr>
                    <pic:cNvPr descr="figures_png/fig6_data_quality.png" id="27" name="Picture"/>
                    <pic:cNvPicPr>
                      <a:picLocks noChangeArrowheads="1" noChangeAspect="1"/>
                    </pic:cNvPicPr>
                  </pic:nvPicPr>
                  <pic:blipFill>
                    <a:blip r:embed="rId25"/>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w:t>
      </w:r>
    </w:p>
    <w:p>
      <w:pPr>
        <w:pStyle w:val="BodyText"/>
      </w:pPr>
      <w:r>
        <w:t xml:space="preserve">Data quality impact and error analysis. (A) PDB circularized set (N=7, confidence 0.95) vs. circrna_3d_merged (N</w:t>
      </w:r>
      <w:r>
        <w:t xml:space="preserve">,000, confidence 0.5). (B) RMSD by data source: high-confidence data gives 11</w:t>
      </w:r>
      <w:r>
        <w:t xml:space="preserve">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Scaling" title="" id="29" name="Picture"/>
            <a:graphic>
              <a:graphicData uri="http://schemas.openxmlformats.org/drawingml/2006/picture">
                <pic:pic>
                  <pic:nvPicPr>
                    <pic:cNvPr descr="figures_png/fig7_length_scaling.png" id="30" name="Picture"/>
                    <pic:cNvPicPr>
                      <a:picLocks noChangeArrowheads="1" noChangeAspect="1"/>
                    </pic:cNvPicPr>
                  </pic:nvPicPr>
                  <pic:blipFill>
                    <a:blip r:embed="rId28"/>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w:t>
      </w:r>
      <w:r>
        <w:t xml:space="preserve">.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title="" id="32" name="Picture"/>
            <a:graphic>
              <a:graphicData uri="http://schemas.openxmlformats.org/drawingml/2006/picture">
                <pic:pic>
                  <pic:nvPicPr>
                    <pic:cNvPr descr="figures_png/fig8_failure_analysis.png" id="33" name="Picture"/>
                    <pic:cNvPicPr>
                      <a:picLocks noChangeArrowheads="1" noChangeAspect="1"/>
                    </pic:cNvPicPr>
                  </pic:nvPicPr>
                  <pic:blipFill>
                    <a:blip r:embed="rId31"/>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w:t>
      </w:r>
    </w:p>
    <w:p>
      <w:pPr>
        <w:pStyle w:val="BodyText"/>
      </w:pPr>
      <w:r>
        <w:t xml:space="preserve">Failure analysis: Schemes 3 and 5. (A) Scheme 5: unbounded</w:t>
      </w:r>
      <w:r>
        <w:t xml:space="preserve"> </w:t>
      </w:r>
      <w:r>
        <w:t xml:space="preserve">-space prediction produces MSE 250k and gradient explosion (RMSD 245</w:t>
      </w:r>
      <w:r>
        <w:t xml:space="preserve">). (B) Scheme 3: loss weight imbalance (1.0 + 0.1 + 0.1) and residual prediction from inadequate planar reference (60</w:t>
      </w:r>
      <w:r>
        <w:t xml:space="preserve">RMSD gap). (C) CPU saturation patterns from per-sample sequential computation loops in both schemes. (D) Necessary conditions for viable circRNA architectures: geometric inductive bias, bounded output magnitude, vectorizable computation.</w:t>
      </w:r>
    </w:p>
    <w:bookmarkEnd w:id="34"/>
    <w:bookmarkStart w:id="35" w:name="discussion"/>
    <w:p>
      <w:pPr>
        <w:pStyle w:val="Heading2"/>
      </w:pPr>
      <w:r>
        <w:t xml:space="preserve">DISCUSSION</w:t>
      </w:r>
    </w:p>
    <w:p>
      <w:pPr>
        <w:pStyle w:val="FirstParagraph"/>
      </w:pPr>
      <w:r>
        <w:t xml:space="preserve">### Diffusion Models Learn Physical Constraints Without Being Told</w:t>
      </w:r>
    </w:p>
    <w:p>
      <w:pPr>
        <w:pStyle w:val="BodyText"/>
      </w:pPr>
      <w:r>
        <w:t xml:space="preserve">The most striking finding: Scheme 6 achieved closure error 0.02</w:t>
      </w:r>
      <w:r>
        <w:t xml:space="preserve">without any closure penalty in the loss function. The diffusion model learned the constraint from data. During training, it saw that valid structures have first-to-last distance around 5.9</w:t>
      </w:r>
      <w:r>
        <w:t xml:space="preserve">,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w:t>
      </w:r>
      <w:r>
        <w:t xml:space="preserve">, C-C’ 1.5</w:t>
      </w:r>
      <w:r>
        <w:t xml:space="preserve">) and bond angles have variances under 0.02</w:t>
      </w:r>
      <w:r>
        <w:t xml:space="preserve">in experimental structures.</w:t>
      </w:r>
    </w:p>
    <w:p>
      <w:pPr>
        <w:numPr>
          <w:ilvl w:val="0"/>
          <w:numId w:val="1005"/>
        </w:numPr>
      </w:pPr>
      <w:r>
        <w:t xml:space="preserve">Secondary structure as strong prior: Base-paired nucleotides have distance constraints (N1-N3 around 2.9</w:t>
      </w:r>
      <w:r>
        <w:t xml:space="preserve">for Watson-Crick pairs).</w:t>
      </w:r>
    </w:p>
    <w:p>
      <w:pPr>
        <w:numPr>
          <w:ilvl w:val="0"/>
          <w:numId w:val="1005"/>
        </w:numPr>
      </w:pPr>
      <w:r>
        <w:t xml:space="preserve">BSJ closure as definition: The defining feature of circRNA is covalent linkage of 5’ and 3’ ends. Closure error under 2</w:t>
      </w:r>
      <w:r>
        <w:t xml:space="preserve">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w:t>
      </w:r>
      <w:r>
        <w:t xml:space="preserve">.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w:t>
      </w:r>
      <w:r>
        <w:t xml:space="preserve"> </w:t>
      </w:r>
      <w:r>
        <w:t xml:space="preserve">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bookmarkEnd w:id="35"/>
    <w:bookmarkStart w:id="36" w:name="methods"/>
    <w:p>
      <w:pPr>
        <w:pStyle w:val="Heading2"/>
      </w:pPr>
      <w:r>
        <w:t xml:space="preserve">METHODS</w:t>
      </w:r>
    </w:p>
    <w:p>
      <w:pPr>
        <w:pStyle w:val="FirstParagraph"/>
      </w:pPr>
      <w:r>
        <w:t xml:space="preserve">### Torus Positional Encoding</w:t>
      </w:r>
    </w:p>
    <w:p>
      <w:pPr>
        <w:pStyle w:val="BodyText"/>
      </w:pPr>
      <w:r>
        <w:t xml:space="preserve">Torus Positional Encoding (TPE) is defined as:</w:t>
      </w:r>
    </w:p>
    <w:p>
      <w:pPr>
        <w:pStyle w:val="BodyText"/>
      </w:pPr>
      <m:oMathPara>
        <m:oMathParaPr>
          <m:jc m:val="center"/>
        </m:oMathParaPr>
        <m:oMath>
          <m:r>
            <m:t>T</m:t>
          </m:r>
          <m:r>
            <m:t>P</m:t>
          </m:r>
          <m:r>
            <m:t>E</m:t>
          </m:r>
          <m:r>
            <m:rPr>
              <m:sty m:val="p"/>
            </m:rPr>
            <m:t>(</m:t>
          </m:r>
          <m:r>
            <m:t>i</m:t>
          </m:r>
          <m:r>
            <m:rPr>
              <m:sty m:val="p"/>
            </m:rPr>
            <m:t>,</m:t>
          </m:r>
          <m:r>
            <m:t>2</m:t>
          </m:r>
          <m:r>
            <m:t>h</m:t>
          </m:r>
          <m:r>
            <m:rPr>
              <m:sty m:val="p"/>
            </m:rPr>
            <m:t>)</m:t>
          </m:r>
          <m:r>
            <m:rPr>
              <m:sty m:val="p"/>
            </m:rPr>
            <m:t>=</m:t>
          </m:r>
          <m:r>
            <m:rPr>
              <m:sty m:val="p"/>
            </m:rPr>
            <m:t>sin</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m:oMathPara>
        <m:oMathParaPr>
          <m:jc m:val="center"/>
        </m:oMathParaPr>
        <m:oMath>
          <m:r>
            <m:t>T</m:t>
          </m:r>
          <m:r>
            <m:t>P</m:t>
          </m:r>
          <m:r>
            <m:t>E</m:t>
          </m:r>
          <m:r>
            <m:rPr>
              <m:sty m:val="p"/>
            </m:rPr>
            <m:t>(</m:t>
          </m:r>
          <m:r>
            <m:t>i</m:t>
          </m:r>
          <m:r>
            <m:rPr>
              <m:sty m:val="p"/>
            </m:rPr>
            <m:t>,</m:t>
          </m:r>
          <m:r>
            <m:t>2</m:t>
          </m:r>
          <m:r>
            <m:t>h</m:t>
          </m:r>
          <m:r>
            <m:rPr>
              <m:sty m:val="p"/>
            </m:rPr>
            <m:t>+</m:t>
          </m:r>
          <m:r>
            <m:t>1</m:t>
          </m:r>
          <m:r>
            <m:rPr>
              <m:sty m:val="p"/>
            </m:rPr>
            <m:t>)</m:t>
          </m:r>
          <m:r>
            <m:rPr>
              <m:sty m:val="p"/>
            </m:rPr>
            <m:t>=</m:t>
          </m:r>
          <m:r>
            <m:rPr>
              <m:sty m:val="p"/>
            </m:rPr>
            <m:t>cos</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w:r>
        <w:t xml:space="preserve">for positioni</w:t>
      </w:r>
      <w:r>
        <w:t xml:space="preserve"> </w:t>
      </w:r>
      <w:r>
        <w:t xml:space="preserve">, harmonich</w:t>
      </w:r>
      <w:r>
        <w:t xml:space="preserve"> </w:t>
      </w:r>
      <w:r>
        <w:t xml:space="preserve">, and embedding dimension 2H. Periodicity is guaranteed by the2</w:t>
      </w:r>
      <w:r>
        <w:t xml:space="preserve">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w:t>
      </w:r>
      <w:r>
        <w:t xml:space="preserve"> </w:t>
      </w:r>
      <w:r>
        <w:t xml:space="preserve">^64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w:t>
      </w:r>
      <w:r>
        <w:t xml:space="preserve">^8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w:t>
      </w:r>
      <w:r>
        <w:t xml:space="preserve"> </w:t>
      </w:r>
      <w:r>
        <w:t xml:space="preserve">_e(h_i^l, h_j^l, x_i^l - x_j</w:t>
      </w:r>
      <w:r>
        <w:rPr>
          <w:vertAlign w:val="superscript"/>
        </w:rPr>
        <w:t xml:space="preserve">l</w:t>
      </w:r>
      <w:r>
        <w:t xml:space="preserve">2, e_ij)</w:t>
      </w:r>
    </w:p>
    <w:p>
      <w:pPr>
        <w:numPr>
          <w:ilvl w:val="0"/>
          <w:numId w:val="1000"/>
        </w:numPr>
      </w:pPr>
      <w:r>
        <w:t xml:space="preserve">h_i^l+1 =</w:t>
      </w:r>
      <w:r>
        <w:t xml:space="preserve"> </w:t>
      </w:r>
      <w:r>
        <w:t xml:space="preserve">_h(h_i^l,</w:t>
      </w:r>
      <w:r>
        <w:t xml:space="preserve"> </w:t>
      </w:r>
      <w:r>
        <w:t xml:space="preserve">_j</w:t>
      </w:r>
      <w:r>
        <w:t xml:space="preserve"> </w:t>
      </w:r>
      <w:r>
        <w:t xml:space="preserve">(i) m_ij)</w:t>
      </w:r>
    </w:p>
    <w:p>
      <w:pPr>
        <w:numPr>
          <w:ilvl w:val="0"/>
          <w:numId w:val="1000"/>
        </w:numPr>
      </w:pPr>
      <w:r>
        <w:t xml:space="preserve">x_i^l+1 = x_i^l +</w:t>
      </w:r>
      <w:r>
        <w:t xml:space="preserve"> </w:t>
      </w:r>
      <w:r>
        <w:t xml:space="preserve">_j</w:t>
      </w:r>
      <w:r>
        <w:t xml:space="preserve"> </w:t>
      </w:r>
      <w:r>
        <w:t xml:space="preserve">(i)x_i^l - x_j</w:t>
      </w:r>
      <w:r>
        <w:rPr>
          <w:vertAlign w:val="superscript"/>
        </w:rPr>
        <w:t xml:space="preserve">l/x_i</w:t>
      </w:r>
      <w:r>
        <w:t xml:space="preserve">l - x_j^l + 1·</w:t>
      </w:r>
      <w:r>
        <w:t xml:space="preserve">_x(m_ij)</w:t>
      </w:r>
    </w:p>
    <w:p>
      <w:pPr>
        <w:pStyle w:val="FirstParagraph"/>
      </w:pPr>
      <w:r>
        <w:t xml:space="preserve">where</w:t>
      </w:r>
      <w:r>
        <w:t xml:space="preserve">_e,</w:t>
      </w:r>
      <w:r>
        <w:t xml:space="preserve"> </w:t>
      </w:r>
      <w:r>
        <w:t xml:space="preserve">_h,</w:t>
      </w:r>
      <w:r>
        <w:t xml:space="preserve"> </w:t>
      </w:r>
      <w:r>
        <w:t xml:space="preserve">_xare MLPs with hidden dimension 128, and coordinatesx_i</w:t>
      </w:r>
      <w:r>
        <w:t xml:space="preserve"> </w:t>
      </w:r>
      <w:r>
        <w:t xml:space="preserve">^3are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w:t>
      </w:r>
      <w:r>
        <w:t xml:space="preserve">, C-C’ 1.5</w:t>
      </w:r>
      <w:r>
        <w:t xml:space="preserve">(tolerance 0.02</w:t>
      </w:r>
      <w:r>
        <w:t xml:space="preserve">)</w:t>
      </w:r>
    </w:p>
    <w:p>
      <w:pPr>
        <w:numPr>
          <w:ilvl w:val="0"/>
          <w:numId w:val="1008"/>
        </w:numPr>
      </w:pPr>
      <w:r>
        <w:t xml:space="preserve">BSJ closure: Distance restraint d(p_0, p_L-1) = 5.9 ± 0.5</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w:t>
      </w:r>
      <w:r>
        <w:t xml:space="preserve"> </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w:t>
      </w:r>
      <w:r>
        <w:t xml:space="preserve"> </w:t>
      </w:r>
      <w:r>
        <w:t xml:space="preserve">T_n, 1000 iterations</w:t>
      </w:r>
    </w:p>
    <w:p>
      <w:pPr>
        <w:numPr>
          <w:ilvl w:val="0"/>
          <w:numId w:val="1009"/>
        </w:numPr>
      </w:pPr>
      <w:r>
        <w:t xml:space="preserve">Energy function: E = E_bond + E_pair + E_clash + E_closure</w:t>
      </w:r>
      <w:r>
        <w:t xml:space="preserve"> </w:t>
      </w:r>
      <w:r>
        <w:t xml:space="preserve">E_closure = 100</w:t>
      </w:r>
      <w:r>
        <w:t xml:space="preserve"> </w:t>
      </w:r>
      <w:r>
        <w:t xml:space="preserve">(d(p_0,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w:t>
      </w:r>
      <w:r>
        <w:t xml:space="preserve"> </w:t>
      </w:r>
      <w:r>
        <w:t xml:space="preserve">_t from 10^-4 to 0.02</w:t>
      </w:r>
    </w:p>
    <w:p>
      <w:pPr>
        <w:numPr>
          <w:ilvl w:val="0"/>
          <w:numId w:val="1012"/>
        </w:numPr>
      </w:pPr>
      <w:r>
        <w:t xml:space="preserve">Forward process:</w:t>
      </w:r>
    </w:p>
    <w:p>
      <w:pPr>
        <w:pStyle w:val="SourceCode"/>
      </w:pPr>
      <w:r>
        <w:rPr>
          <w:rStyle w:val="VerbatimChar"/>
        </w:rPr>
        <w:t xml:space="preserve">x_t = \sqrt(\alpha̅_t) x_0 + \sqrt(1-\alpha̅_t)ϵ,   ϵ\sim\mathcal{N}(0,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w:t>
      </w:r>
      <w:r>
        <w:t xml:space="preserve"> </w:t>
      </w:r>
      <w:r>
        <w:t xml:space="preserve">^3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softmax(QK^T/\sqrt(d)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w:t>
      </w:r>
    </w:p>
    <w:p>
      <w:pPr>
        <w:numPr>
          <w:ilvl w:val="0"/>
          <w:numId w:val="1014"/>
        </w:numPr>
      </w:pPr>
      <w:r>
        <w:t xml:space="preserve">RMSD: 245</w:t>
      </w:r>
      <w:r>
        <w:t xml:space="preserve">(catastrophic)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w:t>
      </w:r>
      <w:r>
        <w:t xml:space="preserve"> </w:t>
      </w:r>
      <w:r>
        <w:t xml:space="preserve">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w:t>
      </w:r>
      <w:r>
        <w:t xml:space="preserve">) with length</w:t>
      </w:r>
      <w:r>
        <w:t xml:space="preserve"> </w:t>
      </w:r>
      <w:r>
        <w:t xml:space="preserve">nt for 50 epochs. Uses strong regularization (dropout 0.15, gradient clipping 0.5) to establish geometric priors from reliable sources (PDB, SHAPE, Rfam).</w:t>
      </w:r>
    </w:p>
    <w:p>
      <w:pPr>
        <w:pStyle w:val="BodyText"/>
      </w:pPr>
      <w:r>
        <w:t xml:space="preserve">Phase 2 (Generalization Expansion): Include medium-quality data (</w:t>
      </w:r>
      <w:r>
        <w:t xml:space="preserve">) with length</w:t>
      </w:r>
      <w:r>
        <w:t xml:space="preserve"> </w:t>
      </w:r>
      <w:r>
        <w:t xml:space="preserve">nt for 50 epochs. Reduced regularization (dropout 0.05, gradient clipping 1.0) allows adaptation to noisy pseudo-labels. Validation set always uses high-quality data (</w:t>
      </w:r>
      <w:r>
        <w:t xml:space="preserve">)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w:t>
      </w:r>
      <w:r>
        <w:t xml:space="preserve">)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w:t>
      </w:r>
      <w:r>
        <w:t xml:space="preserve">and annealing closure.</w:t>
      </w:r>
    </w:p>
    <w:p>
      <w:pPr>
        <w:pStyle w:val="BodyText"/>
      </w:pPr>
      <w:r>
        <w:t xml:space="preserve">circrna_3d_merged (N</w:t>
      </w:r>
      <w:r>
        <w:t xml:space="preserve">,000):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w:t>
      </w:r>
      <w:r>
        <w:t xml:space="preserve">(50% probability)</w:t>
      </w:r>
    </w:p>
    <w:p>
      <w:pPr>
        <w:numPr>
          <w:ilvl w:val="0"/>
          <w:numId w:val="1018"/>
        </w:numPr>
      </w:pPr>
      <w:r>
        <w:t xml:space="preserve">Noise: Gaussian perturbation σ=0.3</w:t>
      </w:r>
      <w:r>
        <w:t xml:space="preserve">(50%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w:t>
      </w:r>
      <w:r>
        <w:t xml:space="preserve">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w:t>
      </w:r>
      <w:r>
        <w:t xml:space="preserve"> </w:t>
      </w:r>
      <w:r>
        <w:t xml:space="preserve">+ 0.3</w:t>
      </w:r>
      <w:r>
        <w:t xml:space="preserve"> </w:t>
      </w:r>
      <w:r>
        <w:t xml:space="preserve">plateau + 0.2</w:t>
      </w:r>
      <w:r>
        <w:t xml:space="preserve"> </w:t>
      </w:r>
      <w:r>
        <w:t xml:space="preserve">+ 0.2</w:t>
      </w:r>
      <w:r>
        <w:t xml:space="preserve"> </w:t>
      </w:r>
      <w:r>
        <w:t xml:space="preserve">preservation. Throughput:</w:t>
      </w:r>
      <w:r>
        <w:t xml:space="preserve">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\sqrt(1/N\sum_ip_i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w:t>
      </w:r>
      <w:r>
        <w:t xml:space="preserve">(phosphodiester bond length).</w:t>
      </w:r>
    </w:p>
    <w:bookmarkEnd w:id="36"/>
    <w:bookmarkStart w:id="37" w:name="data-and-code-availability"/>
    <w:p>
      <w:pPr>
        <w:pStyle w:val="Heading2"/>
      </w:pPr>
      <w:r>
        <w:t xml:space="preserve">DATA AND CODE AVAILABILITY</w:t>
      </w:r>
    </w:p>
    <w:p>
      <w:pPr>
        <w:pStyle w:val="FirstParagraph"/>
      </w:pPr>
      <w:r>
        <w:t xml:space="preserve">Code is available at github.com/RomanCohort/confluencia under MIT license.</w:t>
      </w:r>
    </w:p>
    <w:bookmarkEnd w:id="37"/>
    <w:bookmarkStart w:id="38" w:name="acknowledgments"/>
    <w:p>
      <w:pPr>
        <w:pStyle w:val="Heading2"/>
      </w:pPr>
      <w:r>
        <w:t xml:space="preserve">ACKNOWLEDGMENTS</w:t>
      </w:r>
    </w:p>
    <w:p>
      <w:pPr>
        <w:pStyle w:val="FirstParagraph"/>
      </w:pPr>
      <w:r>
        <w:t xml:space="preserve">This work was conducted as part of iGEM 2026 by the FBH (First Build High School) team for the development of circRNA-based TNBC vaccines.</w:t>
      </w:r>
    </w:p>
    <w:p>
      <w:pPr>
        <w:pStyle w:val="BodyText"/>
      </w:pPr>
      <w:r>
        <w:t xml:space="preserve">plainnat</w:t>
      </w:r>
    </w:p>
    <w:p>
      <w:r>
        <w:pict>
          <v:rect style="width:0;height:1.5pt" o:hralign="center" o:hrstd="t" o:hr="t"/>
        </w:pict>
      </w:r>
    </w:p>
    <w:bookmarkEnd w:id="38"/>
    <w:bookmarkStart w:id="39" w:name="acknowledgments-1"/>
    <w:p>
      <w:pPr>
        <w:pStyle w:val="Heading2"/>
      </w:pPr>
      <w:r>
        <w:t xml:space="preserve">Acknowledgments</w:t>
      </w:r>
    </w:p>
    <w:p>
      <w:pPr>
        <w:pStyle w:val="FirstParagraph"/>
      </w:pPr>
      <w:r>
        <w:rPr>
          <w:b/>
          <w:bCs/>
        </w:rPr>
        <w:t xml:space="preserve">Academic Guidance:</w:t>
      </w:r>
      <w:r>
        <w:t xml:space="preserve"> </w:t>
      </w:r>
      <w:r>
        <w:t xml:space="preserve">Jilin University provided academic guidance throughout this research.</w:t>
      </w:r>
    </w:p>
    <w:p>
      <w:pPr>
        <w:pStyle w:val="BodyText"/>
      </w:pPr>
      <w:r>
        <w:rPr>
          <w:b/>
          <w:bCs/>
        </w:rPr>
        <w:t xml:space="preserve">Supervisor:</w:t>
      </w:r>
      <w:r>
        <w:t xml:space="preserve"> </w:t>
      </w:r>
      <w:r>
        <w:t xml:space="preserve">Special thanks to my supervisor for guidance and mentorship.</w:t>
      </w:r>
    </w:p>
    <w:p>
      <w:pPr>
        <w:pStyle w:val="BodyText"/>
      </w:pPr>
      <w:r>
        <w:rPr>
          <w:b/>
          <w:bCs/>
        </w:rPr>
        <w:t xml:space="preserve">Computing:</w:t>
      </w:r>
      <w:r>
        <w:t xml:space="preserve"> </w:t>
      </w:r>
      <w:r>
        <w:t xml:space="preserve">Shandong Datong Dili Network Technology Co., Ltd. provided computing resources.</w:t>
      </w:r>
    </w:p>
    <w:p>
      <w:pPr>
        <w:pStyle w:val="BodyText"/>
      </w:pPr>
      <w:r>
        <w:rPr>
          <w:b/>
          <w:bCs/>
        </w:rPr>
        <w:t xml:space="preserve">Inspiration:</w:t>
      </w:r>
      <w:r>
        <w:t xml:space="preserve"> </w:t>
      </w:r>
      <w:r>
        <w:t xml:space="preserve">AlphaFold, IsRNAcirc, and AlphaFold3 inspired this work.</w:t>
      </w:r>
    </w:p>
    <w:p>
      <w:pPr>
        <w:pStyle w:val="BodyText"/>
      </w:pPr>
      <w:r>
        <w:rPr>
          <w:b/>
          <w:bCs/>
        </w:rPr>
        <w:t xml:space="preserve">Special Thanks:</w:t>
      </w:r>
      <w:r>
        <w:t xml:space="preserve"> </w:t>
      </w:r>
      <w:r>
        <w:t xml:space="preserve">Rixin Building </w:t>
      </w:r>
      <w:r>
        <w:rPr>
          <w:rFonts w:hint="eastAsia"/>
        </w:rPr>
        <w:t xml:space="preserve">(日新楼)</w:t>
      </w:r>
      <w:r>
        <w:t xml:space="preserve"> hamburgers fueled late nights of coding. 🍔</w:t>
      </w:r>
    </w:p>
    <w:p>
      <w:pPr>
        <w:pStyle w:val="BodyText"/>
      </w:pPr>
      <w:r>
        <w:rPr>
          <w:b/>
          <w:bCs/>
        </w:rPr>
        <w:t xml:space="preserve">Contributions:</w:t>
      </w:r>
      <w:r>
        <w:t xml:space="preserve"> </w:t>
      </w:r>
      <w:r>
        <w:t xml:space="preserve">Ziyi Yan designed the study, developed software, performed experiments, analyzed data, and wrote the manuscript.</w:t>
      </w:r>
    </w:p>
    <w:p>
      <w:pPr>
        <w:pStyle w:val="BodyText"/>
      </w:pPr>
      <w:r>
        <w:rPr>
          <w:b/>
          <w:bCs/>
        </w:rPr>
        <w:t xml:space="preserve">Conflict of Interest:</w:t>
      </w:r>
      <w:r>
        <w:t xml:space="preserve"> </w:t>
      </w:r>
      <w:r>
        <w:t xml:space="preserve">None declared.</w:t>
      </w:r>
    </w:p>
    <w:p>
      <w:pPr>
        <w:pStyle w:val="BodyText"/>
      </w:pPr>
      <w:r>
        <w:rPr>
          <w:b/>
          <w:bCs/>
        </w:rPr>
        <w:t xml:space="preserve">Data:</w:t>
      </w:r>
      <w:r>
        <w:t xml:space="preserve"> </w:t>
      </w:r>
      <w:r>
        <w:t xml:space="preserve">Available at https://github.com/RomanCohort/torusfold</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2026-06-27T08:21:18Z</dcterms:created>
  <dcterms:modified xsi:type="dcterms:W3CDTF">2026-06-27T08:21:18Z</dcterms:modified>
</cp:coreProperties>
</file>

<file path=docProps/custom.xml><?xml version="1.0" encoding="utf-8"?>
<Properties xmlns="http://schemas.openxmlformats.org/officeDocument/2006/custom-properties" xmlns:vt="http://schemas.openxmlformats.org/officeDocument/2006/docPropsVTypes"/>
</file>