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figures_png/figures/media/</w:t>
      </w:r>
    </w:p>
    <w:p>
      <w:pPr>
        <w:pStyle w:val="BodyText"/>
      </w:pPr>
      <w:r>
        <w:t xml:space="preserve">TorusFold: Torus-Aware Deep Learning Architectures for Circular RNA 3D Structure Prediction</w:t>
      </w:r>
    </w:p>
    <w:p>
      <w:pPr>
        <w:pStyle w:val="BodyText"/>
      </w:pPr>
      <w:r>
        <w:t xml:space="preserve">iGEM FBH Team</w:t>
      </w:r>
    </w:p>
    <w:p>
      <w:pPr>
        <w:pStyle w:val="BodyText"/>
      </w:pPr>
      <w:r>
        <w:t xml:space="preserve">iGEM 2026, First Build High School</w:t>
      </w:r>
    </w:p>
    <w:bookmarkStart w:id="9" w:name="section"/>
    <w:p>
      <w:pPr>
        <w:pStyle w:val="Heading1"/>
      </w:pPr>
      <w:r>
        <w:t xml:space="preserve">2026-06-25</w: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where none existed before.</w:t>
      </w:r>
    </w:p>
    <w:p>
      <w:pPr>
        <w:pStyle w:val="BodyText"/>
      </w:pPr>
      <w:r>
        <w:t xml:space="preserve">§ INTRODUCTION</w:t>
      </w:r>
    </w:p>
    <w:p>
      <w:pPr>
        <w:pStyle w:val="BodyText"/>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p>
      <w:pPr>
        <w:pStyle w:val="BodyText"/>
      </w:pPr>
      <w:r>
        <w:t xml:space="preserve">§ RESULTS</w:t>
      </w:r>
    </w:p>
    <w:p>
      <w:pPr>
        <w:pStyle w:val="BodyText"/>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SourceCode"/>
      </w:pPr>
      <w:r>
        <w:rPr>
          <w:rStyle w:val="VerbatimChar"/>
        </w:rPr>
        <w:t xml:space="preserve">PE(i, 2h) = sin(i / 10000^2h/d)</w:t>
      </w:r>
      <w:r>
        <w:br/>
      </w:r>
      <w:r>
        <w:br/>
      </w:r>
      <w:r>
        <w:br/>
      </w:r>
      <w:r>
        <w:rPr>
          <w:rStyle w:val="VerbatimChar"/>
        </w:rPr>
        <w:t xml:space="preserve">PE(i, 2h+1) = cos(i / 10000^2h/d)</w:t>
      </w:r>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SourceCode"/>
      </w:pPr>
      <w:r>
        <w:rPr>
          <w:rStyle w:val="VerbatimChar"/>
        </w:rPr>
        <w:t xml:space="preserve">TPE(i, 2h) = sin(2π× h × i / L)</w:t>
      </w:r>
      <w:r>
        <w:br/>
      </w:r>
      <w:r>
        <w:br/>
      </w:r>
      <w:r>
        <w:br/>
      </w:r>
      <w:r>
        <w:rPr>
          <w:rStyle w:val="VerbatimChar"/>
        </w:rPr>
        <w:t xml:space="preserve">TPE(i, 2h+1) = cos(2π× h × i / L)</w:t>
      </w:r>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SourceCode"/>
      </w:pPr>
      <w:r>
        <w:rPr>
          <w:rStyle w:val="VerbatimChar"/>
        </w:rPr>
        <w:t xml:space="preserve">&lt; g r a p h i c s &gt;</w:t>
      </w:r>
    </w:p>
    <w:p>
      <w:pPr>
        <w:pStyle w:val="FirstParagraph"/>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ensuring that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p>
      <w:pPr>
        <w:pStyle w:val="BodyText"/>
      </w:pPr>
      <w:r>
        <w:t xml:space="preserve">Scheme Architecture Complexity RMSD (Å) Closure (Å) Status</w:t>
      </w:r>
    </w:p>
    <w:p>
      <w:pPr>
        <w:pStyle w:val="BodyText"/>
      </w:pPr>
      <w:r>
        <w:t xml:space="preserve">1 EGNN + Physics O(L^2) 13.85 5.36 Trained</w:t>
      </w:r>
    </w:p>
    <w:p>
      <w:pPr>
        <w:pStyle w:val="BodyText"/>
      </w:pPr>
      <w:r>
        <w:t xml:space="preserve">2 Physics Solver O(L) 25.47 2.75 Ready</w:t>
      </w:r>
    </w:p>
    <w:p>
      <w:pPr>
        <w:pStyle w:val="BodyText"/>
      </w:pPr>
      <w:r>
        <w:t xml:space="preserve">2’ Physics (no pairs) O(L) 85.39 0.10 Baseline</w:t>
      </w:r>
    </w:p>
    <w:p>
      <w:pPr>
        <w:pStyle w:val="BodyText"/>
      </w:pPr>
      <w:r>
        <w:t xml:space="preserve">3 Dual-Engine O(L^2) — — Deferred</w:t>
      </w:r>
    </w:p>
    <w:p>
      <w:pPr>
        <w:pStyle w:val="BodyText"/>
      </w:pPr>
      <w:r>
        <w:t xml:space="preserve">4 DDPM + EGNN O(L^2 × T) — — Training^†</w:t>
      </w:r>
    </w:p>
    <w:p>
      <w:pPr>
        <w:pStyle w:val="BodyText"/>
      </w:pPr>
      <w:r>
        <w:t xml:space="preserve">5 Transformer+PE O(L^2) 245 — Failed</w:t>
      </w:r>
    </w:p>
    <w:p>
      <w:pPr>
        <w:pStyle w:val="BodyText"/>
      </w:pPr>
      <w:r>
        <w:t xml:space="preserve">5’ Delta + Planar O(L^2) — — Abandoned</w:t>
      </w:r>
    </w:p>
    <w:p>
      <w:pPr>
        <w:pStyle w:val="BodyText"/>
      </w:pPr>
      <w:r>
        <w:t xml:space="preserve">6 GNN Latent Diff O(L^2 × T) 13.91 0.02 Trained</w:t>
      </w:r>
    </w:p>
    <w:p>
      <w:pPr>
        <w:pStyle w:val="BodyText"/>
      </w:pPr>
      <w:r>
        <w:t xml:space="preserve">7 Mamba+Attn O(L) — — Training^†</w:t>
      </w:r>
    </w:p>
    <w:p>
      <w:pPr>
        <w:pStyle w:val="BodyText"/>
      </w:pPr>
      <w:r>
        <w:t xml:space="preserve">8 Sparse Pair Hybrid O(L · K)* — — Training^†</w:t>
      </w:r>
    </w:p>
    <w:p>
      <w:pPr>
        <w:pStyle w:val="BodyText"/>
      </w:pPr>
      <w:r>
        <w:t xml:space="preserve">— Random baseline — ∼60 — —</w:t>
      </w:r>
    </w:p>
    <w:p>
      <w:pPr>
        <w:pStyle w:val="BodyText"/>
      </w:pPr>
      <w:r>
        <w:t xml:space="preserve">^†Training in progress; preliminary architectures described in Methods Section 3.2.</w:t>
      </w:r>
      <w:r>
        <w:t xml:space="preserve"> </w:t>
      </w: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SourceCode"/>
      </w:pPr>
      <w:r>
        <w:rPr>
          <w:rStyle w:val="VerbatimChar"/>
        </w:rPr>
        <w:t xml:space="preserve">&lt; g r a p h i c s &gt;</w:t>
      </w:r>
    </w:p>
    <w:p>
      <w:pPr>
        <w:pStyle w:val="FirstParagraph"/>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r>
        <w:t xml:space="preserve"> </w:t>
      </w:r>
      <w:r>
        <w:t xml:space="preserve">&lt; g r a p h i c s &gt;</w:t>
      </w:r>
      <w:r>
        <w:t xml:space="preserve"> </w:t>
      </w: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SourceCode"/>
      </w:pPr>
      <w:r>
        <w:rPr>
          <w:rStyle w:val="VerbatimChar"/>
        </w:rPr>
        <w:t xml:space="preserve">&lt; g r a p h i c s &gt;</w:t>
      </w:r>
    </w:p>
    <w:p>
      <w:pPr>
        <w:pStyle w:val="FirstParagraph"/>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SourceCode"/>
      </w:pPr>
      <w:r>
        <w:rPr>
          <w:rStyle w:val="VerbatimChar"/>
        </w:rPr>
        <w:t xml:space="preserve">&lt; g r a p h i c s &gt;</w:t>
      </w:r>
    </w:p>
    <w:p>
      <w:pPr>
        <w:pStyle w:val="FirstParagraph"/>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ceiling—they are limited by training data. We estimate that with 50-100 high-quality experimental circRNA structures, RMSD could potentially reach &lt;10Å.</w:t>
      </w:r>
    </w:p>
    <w:p>
      <w:pPr>
        <w:pStyle w:val="SourceCode"/>
      </w:pPr>
      <w:r>
        <w:rPr>
          <w:rStyle w:val="VerbatimChar"/>
        </w:rPr>
        <w:t xml:space="preserve">&lt; g r a p h i c s &gt;</w:t>
      </w:r>
    </w:p>
    <w:p>
      <w:pPr>
        <w:pStyle w:val="FirstParagraph"/>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SourceCode"/>
      </w:pPr>
      <w:r>
        <w:rPr>
          <w:rStyle w:val="VerbatimChar"/>
        </w:rPr>
        <w:t xml:space="preserve">&lt; g r a p h i c s &gt;</w:t>
      </w:r>
    </w:p>
    <w:p>
      <w:pPr>
        <w:pStyle w:val="FirstParagraph"/>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SourceCode"/>
      </w:pPr>
      <w:r>
        <w:rPr>
          <w:rStyle w:val="VerbatimChar"/>
        </w:rPr>
        <w:t xml:space="preserve">&lt; g r a p h i c s &gt;</w:t>
      </w:r>
    </w:p>
    <w:p>
      <w:pPr>
        <w:pStyle w:val="FirstParagraph"/>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p>
      <w:pPr>
        <w:pStyle w:val="BodyText"/>
      </w:pPr>
      <w:r>
        <w:t xml:space="preserve">§ DISCUSSION</w:t>
      </w:r>
    </w:p>
    <w:p>
      <w:pPr>
        <w:pStyle w:val="BodyText"/>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cost—HBM (high-bandwidth memory) access—by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p>
      <w:pPr>
        <w:pStyle w:val="FirstParagraph"/>
      </w:pPr>
      <w:r>
        <w:t xml:space="preserve">§ METHODS</w:t>
      </w:r>
    </w:p>
    <w:p>
      <w:pPr>
        <w:pStyle w:val="BodyText"/>
      </w:pPr>
      <w:r>
        <w:t xml:space="preserve">§.§ Torus Positional Encoding</w:t>
      </w:r>
    </w:p>
    <w:p>
      <w:pPr>
        <w:pStyle w:val="BodyText"/>
      </w:pPr>
      <w:r>
        <w:t xml:space="preserve">Torus Positional Encoding (TPE) is defined as:</w:t>
      </w:r>
    </w:p>
    <w:p>
      <w:pPr>
        <w:pStyle w:val="SourceCode"/>
      </w:pPr>
      <w:r>
        <w:rPr>
          <w:rStyle w:val="VerbatimChar"/>
        </w:rPr>
        <w:t xml:space="preserve">TPE(i, 2h) = sin(2π× h × i / L)</w:t>
      </w:r>
      <w:r>
        <w:br/>
      </w:r>
      <w:r>
        <w:br/>
      </w:r>
      <w:r>
        <w:rPr>
          <w:rStyle w:val="VerbatimChar"/>
        </w:rPr>
        <w:t xml:space="preserve">TPE(i, 2h+1) = cos(2π× h × i / L)</w:t>
      </w:r>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p>
      <w:pPr>
        <w:pStyle w:val="BodyText"/>
      </w:pPr>
      <w:r>
        <w:t xml:space="preserve">§ DATA AND CODE AVAILABILITY</w:t>
      </w:r>
    </w:p>
    <w:p>
      <w:pPr>
        <w:pStyle w:val="BodyText"/>
      </w:pPr>
      <w:r>
        <w:t xml:space="preserve">Code is available at github.com/RomanCohort/confluencia under MIT license.</w:t>
      </w:r>
    </w:p>
    <w:p>
      <w:pPr>
        <w:pStyle w:val="BodyText"/>
      </w:pPr>
      <w:r>
        <w:t xml:space="preserve">§ ACKNOWLEDGMENTS</w:t>
      </w:r>
    </w:p>
    <w:p>
      <w:pPr>
        <w:pStyle w:val="BodyText"/>
      </w:pPr>
      <w:r>
        <w:t xml:space="preserve">This work was conducted as part of iGEM 2026 by the FBH (First Build High School) team for the development of circRNA-based TNBC vaccines.</w:t>
      </w:r>
    </w:p>
    <w:p>
      <w:pPr>
        <w:pStyle w:val="BodyText"/>
      </w:pPr>
      <w:r>
        <w:t xml:space="preserve">plainnat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2026-06-27T06:29:00Z</dcterms:created>
  <dcterms:modified xsi:type="dcterms:W3CDTF">2026-06-27T06:29:00Z</dcterms:modified>
</cp:coreProperties>
</file>

<file path=docProps/custom.xml><?xml version="1.0" encoding="utf-8"?>
<Properties xmlns="http://schemas.openxmlformats.org/officeDocument/2006/custom-properties" xmlns:vt="http://schemas.openxmlformats.org/officeDocument/2006/docPropsVTypes"/>
</file>